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header1.xml" ContentType="application/vnd.openxmlformats-officedocument.wordprocessingml.header+xml"/>
  <Override PartName="/word/media/image1.png" ContentType="image/png"/>
  <Override PartName="/word/media/image2.png" ContentType="image/png"/>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footer1.xml.rels" ContentType="application/vnd.openxmlformats-package.relationships+xml"/>
  <Override PartName="/word/_rels/document.xml.rels" ContentType="application/vnd.openxmlformats-package.relationships+xml"/>
  <Override PartName="/word/_rels/header1.xml.rels" ContentType="application/vnd.openxmlformats-package.relationship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jc w:val="center"/>
        <w:rPr>
          <w:rFonts w:ascii="Times New Roman" w:hAnsi="Times New Roman"/>
          <w:b/>
          <w:b/>
          <w:bCs/>
          <w:sz w:val="22"/>
          <w:szCs w:val="22"/>
        </w:rPr>
      </w:pPr>
      <w:r>
        <w:rPr>
          <w:rFonts w:ascii="Times New Roman" w:hAnsi="Times New Roman"/>
          <w:b/>
          <w:bCs/>
          <w:sz w:val="22"/>
          <w:szCs w:val="22"/>
        </w:rPr>
      </w:r>
    </w:p>
    <w:p>
      <w:pPr>
        <w:pStyle w:val="Normal"/>
        <w:jc w:val="center"/>
        <w:rPr>
          <w:rFonts w:ascii="Times New Roman" w:hAnsi="Times New Roman"/>
          <w:b/>
          <w:b/>
          <w:bCs/>
          <w:sz w:val="22"/>
          <w:szCs w:val="22"/>
        </w:rPr>
      </w:pPr>
      <w:r>
        <w:rPr>
          <w:rFonts w:ascii="Times New Roman" w:hAnsi="Times New Roman"/>
          <w:b/>
          <w:bCs/>
          <w:sz w:val="22"/>
          <w:szCs w:val="22"/>
        </w:rPr>
        <w:t>ANEXO 1A – TERMO DE REFERÊNCIA</w:t>
      </w:r>
    </w:p>
    <w:p>
      <w:pPr>
        <w:pStyle w:val="Normal"/>
        <w:jc w:val="center"/>
        <w:rPr>
          <w:rFonts w:ascii="Times New Roman" w:hAnsi="Times New Roman"/>
          <w:b/>
          <w:b/>
          <w:bCs/>
          <w:sz w:val="22"/>
          <w:szCs w:val="22"/>
        </w:rPr>
      </w:pPr>
      <w:r>
        <w:rPr>
          <w:rFonts w:ascii="Times New Roman" w:hAnsi="Times New Roman"/>
          <w:b/>
          <w:bCs/>
          <w:sz w:val="22"/>
          <w:szCs w:val="22"/>
        </w:rPr>
        <w:t>PROCESSO N. 02/2023</w:t>
      </w:r>
    </w:p>
    <w:p>
      <w:pPr>
        <w:pStyle w:val="Normal"/>
        <w:jc w:val="center"/>
        <w:rPr>
          <w:rFonts w:ascii="Times New Roman" w:hAnsi="Times New Roman"/>
          <w:b/>
          <w:b/>
          <w:bCs/>
          <w:sz w:val="22"/>
          <w:szCs w:val="22"/>
        </w:rPr>
      </w:pPr>
      <w:r>
        <w:rPr>
          <w:rFonts w:ascii="Times New Roman" w:hAnsi="Times New Roman"/>
          <w:b/>
          <w:bCs/>
          <w:sz w:val="22"/>
          <w:szCs w:val="22"/>
        </w:rPr>
        <w:t>PREGÃO N. 02/2023</w:t>
      </w:r>
    </w:p>
    <w:p>
      <w:pPr>
        <w:pStyle w:val="Normal"/>
        <w:jc w:val="center"/>
        <w:rPr/>
      </w:pPr>
      <w:r>
        <w:rPr>
          <w:rStyle w:val="Fontepargpadro"/>
          <w:rFonts w:eastAsia="Century Gothic" w:cs="Century Gothic" w:ascii="Times New Roman" w:hAnsi="Times New Roman"/>
          <w:b/>
          <w:bCs/>
          <w:color w:val="000000"/>
          <w:sz w:val="22"/>
          <w:szCs w:val="22"/>
        </w:rPr>
        <w:t>Registro de Preços nº: 02/2023</w:t>
      </w:r>
    </w:p>
    <w:p>
      <w:pPr>
        <w:pStyle w:val="Normal"/>
        <w:jc w:val="center"/>
        <w:rPr/>
      </w:pPr>
      <w:r>
        <w:rPr>
          <w:rStyle w:val="Fontepargpadro"/>
          <w:rFonts w:eastAsia="Century Gothic" w:cs="Century Gothic" w:ascii="Times New Roman" w:hAnsi="Times New Roman"/>
          <w:b/>
          <w:bCs/>
          <w:color w:val="000000"/>
          <w:sz w:val="22"/>
          <w:szCs w:val="22"/>
        </w:rPr>
        <w:t>Forma: Presencial</w:t>
      </w:r>
    </w:p>
    <w:p>
      <w:pPr>
        <w:pStyle w:val="Normal"/>
        <w:keepNext w:val="true"/>
        <w:keepLines/>
        <w:numPr>
          <w:ilvl w:val="0"/>
          <w:numId w:val="4"/>
        </w:numPr>
        <w:spacing w:lineRule="auto" w:line="276" w:before="480" w:after="120"/>
        <w:jc w:val="both"/>
        <w:rPr>
          <w:rFonts w:ascii="Times New Roman" w:hAnsi="Times New Roman"/>
          <w:sz w:val="22"/>
          <w:szCs w:val="22"/>
        </w:rPr>
      </w:pPr>
      <w:r>
        <w:rPr>
          <w:rFonts w:eastAsia="Century Gothic" w:cs="Century Gothic" w:ascii="Times New Roman" w:hAnsi="Times New Roman"/>
          <w:b/>
          <w:color w:val="000000"/>
          <w:sz w:val="22"/>
          <w:szCs w:val="22"/>
        </w:rPr>
        <w:t>DO OBJETO</w:t>
      </w:r>
    </w:p>
    <w:p>
      <w:pPr>
        <w:pStyle w:val="Normal"/>
        <w:numPr>
          <w:ilvl w:val="1"/>
          <w:numId w:val="4"/>
        </w:numPr>
        <w:spacing w:lineRule="auto" w:line="276" w:before="120" w:after="120"/>
        <w:ind w:left="425" w:hanging="0"/>
        <w:jc w:val="both"/>
        <w:rPr>
          <w:rFonts w:ascii="Times New Roman" w:hAnsi="Times New Roman"/>
          <w:sz w:val="22"/>
          <w:szCs w:val="22"/>
        </w:rPr>
      </w:pPr>
      <w:r>
        <w:rPr>
          <w:rFonts w:eastAsia="Century Gothic" w:cs="Century Gothic" w:ascii="Times New Roman" w:hAnsi="Times New Roman"/>
          <w:sz w:val="22"/>
          <w:szCs w:val="22"/>
        </w:rPr>
        <w:t xml:space="preserve">Registro de Preços para futura e eventual aquisição de gêneros alimentícios como pão, manteiga, pó de café e </w:t>
      </w:r>
      <w:sdt>
        <w:sdtPr>
          <w:id w:val="129196949"/>
        </w:sdtPr>
        <w:sdtContent>
          <w:r>
            <w:rPr>
              <w:rFonts w:eastAsia="Century Gothic" w:cs="Century Gothic" w:ascii="Times New Roman" w:hAnsi="Times New Roman"/>
              <w:sz w:val="22"/>
              <w:szCs w:val="22"/>
            </w:rPr>
            <w:t>açúcar</w:t>
          </w:r>
          <w:sdt>
            <w:sdtPr>
              <w:showingPlcHdr/>
            </w:sdtPr>
            <w:sdtContent>
              <w:r>
                <w:rPr>
                  <w:rFonts w:eastAsia="Century Gothic" w:cs="Century Gothic" w:ascii="Times New Roman" w:hAnsi="Times New Roman"/>
                  <w:sz w:val="22"/>
                  <w:szCs w:val="22"/>
                </w:rPr>
              </w:r>
              <w:r>
                <w:rPr>
                  <w:rFonts w:eastAsia="Century Gothic" w:cs="Century Gothic" w:ascii="Times New Roman" w:hAnsi="Times New Roman"/>
                  <w:sz w:val="22"/>
                  <w:szCs w:val="22"/>
                </w:rPr>
              </w:r>
              <w:sdt>
                <w:sdtPr/>
                <w:sdtContent>
                  <w:r>
                    <w:rPr>
                      <w:rFonts w:eastAsia="Century Gothic" w:cs="Century Gothic" w:ascii="Times New Roman" w:hAnsi="Times New Roman"/>
                      <w:sz w:val="22"/>
                      <w:szCs w:val="22"/>
                    </w:rPr>
                  </w:r>
                </w:sdtContent>
              </w:sdt>
              <w:r>
                <w:rPr>
                  <w:rFonts w:eastAsia="Century Gothic" w:cs="Century Gothic" w:ascii="Times New Roman" w:hAnsi="Times New Roman"/>
                  <w:sz w:val="22"/>
                  <w:szCs w:val="22"/>
                </w:rPr>
              </w:r>
            </w:sdtContent>
          </w:sdt>
        </w:sdtContent>
      </w:sdt>
      <w:r>
        <w:rPr>
          <w:rFonts w:ascii="Times New Roman" w:hAnsi="Times New Roman"/>
          <w:sz w:val="22"/>
          <w:szCs w:val="22"/>
        </w:rPr>
        <w:t xml:space="preserve">     </w:t>
      </w:r>
      <w:r>
        <w:rPr>
          <w:rFonts w:eastAsia="Century Gothic" w:cs="Century Gothic" w:ascii="Times New Roman" w:hAnsi="Times New Roman"/>
          <w:sz w:val="22"/>
          <w:szCs w:val="22"/>
        </w:rPr>
        <w:t xml:space="preserve"> para fornecimento de café da manhã e da tarde para funcionários </w:t>
      </w:r>
      <w:sdt>
        <w:sdtPr>
          <w:showingPlcHdr/>
        </w:sdtPr>
        <w:sdtContent>
          <w:r>
            <w:rPr>
              <w:rFonts w:eastAsia="Century Gothic" w:cs="Century Gothic" w:ascii="Times New Roman" w:hAnsi="Times New Roman"/>
              <w:sz w:val="22"/>
              <w:szCs w:val="22"/>
            </w:rPr>
          </w:r>
          <w:sdt>
            <w:sdtPr>
              <w:id w:val="697022325"/>
            </w:sdtPr>
            <w:sdtContent>
              <w:r>
                <w:rPr>
                  <w:rFonts w:ascii="Times New Roman" w:hAnsi="Times New Roman"/>
                  <w:sz w:val="22"/>
                  <w:szCs w:val="22"/>
                </w:rPr>
                <w:t xml:space="preserve">   </w:t>
              </w:r>
              <w:r>
                <w:rPr>
                  <w:rFonts w:ascii="Times New Roman" w:hAnsi="Times New Roman"/>
                  <w:sz w:val="22"/>
                  <w:szCs w:val="22"/>
                </w:rPr>
                <w:t xml:space="preserve">  </w:t>
              </w:r>
            </w:sdtContent>
          </w:sdt>
        </w:sdtContent>
      </w:sdt>
      <w:r>
        <w:rPr>
          <w:rFonts w:eastAsia="Century Gothic" w:cs="Century Gothic" w:ascii="Times New Roman" w:hAnsi="Times New Roman"/>
          <w:sz w:val="22"/>
          <w:szCs w:val="22"/>
        </w:rPr>
        <w:t>,</w:t>
      </w:r>
      <w:r>
        <w:rPr>
          <w:rFonts w:eastAsia="Century Gothic" w:cs="Century Gothic" w:ascii="Times New Roman" w:hAnsi="Times New Roman"/>
          <w:sz w:val="22"/>
          <w:szCs w:val="22"/>
        </w:rPr>
        <w:t xml:space="preserve"> salgados e refrigerante para fornecimento de coffee break para as assembleias do CISMIV, conforme condições, quantidades e exigências estabelecidas neste instrumento:</w:t>
      </w:r>
    </w:p>
    <w:tbl>
      <w:tblPr>
        <w:tblStyle w:val="a"/>
        <w:tblW w:w="10485" w:type="dxa"/>
        <w:jc w:val="center"/>
        <w:tblInd w:w="0" w:type="dxa"/>
        <w:tblLayout w:type="fixed"/>
        <w:tblCellMar>
          <w:top w:w="0" w:type="dxa"/>
          <w:left w:w="108" w:type="dxa"/>
          <w:bottom w:w="0" w:type="dxa"/>
          <w:right w:w="108" w:type="dxa"/>
        </w:tblCellMar>
        <w:tblLook w:firstRow="0" w:noVBand="0" w:lastRow="0" w:firstColumn="0" w:lastColumn="0" w:noHBand="0" w:val="0000"/>
      </w:tblPr>
      <w:tblGrid>
        <w:gridCol w:w="533"/>
        <w:gridCol w:w="4459"/>
        <w:gridCol w:w="957"/>
        <w:gridCol w:w="1416"/>
        <w:gridCol w:w="993"/>
        <w:gridCol w:w="992"/>
        <w:gridCol w:w="1134"/>
      </w:tblGrid>
      <w:tr>
        <w:trPr>
          <w:trHeight w:val="445" w:hRule="atLeast"/>
        </w:trPr>
        <w:tc>
          <w:tcPr>
            <w:tcW w:w="533"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rFonts w:ascii="Times New Roman" w:hAnsi="Times New Roman"/>
                <w:sz w:val="22"/>
                <w:szCs w:val="22"/>
              </w:rPr>
            </w:pPr>
            <w:r>
              <w:rPr>
                <w:rFonts w:eastAsia="Century Gothic" w:cs="Century Gothic" w:ascii="Times New Roman" w:hAnsi="Times New Roman"/>
                <w:b/>
                <w:sz w:val="22"/>
                <w:szCs w:val="22"/>
              </w:rPr>
              <w:t>ITEM</w:t>
            </w:r>
          </w:p>
          <w:p>
            <w:pPr>
              <w:pStyle w:val="Normal"/>
              <w:widowControl w:val="false"/>
              <w:jc w:val="center"/>
              <w:rPr>
                <w:rFonts w:ascii="Times New Roman" w:hAnsi="Times New Roman" w:eastAsia="Century Gothic" w:cs="Century Gothic"/>
                <w:b/>
                <w:b/>
                <w:sz w:val="22"/>
                <w:szCs w:val="22"/>
              </w:rPr>
            </w:pPr>
            <w:r>
              <w:rPr>
                <w:rFonts w:eastAsia="Century Gothic" w:cs="Century Gothic" w:ascii="Times New Roman" w:hAnsi="Times New Roman"/>
                <w:b/>
                <w:sz w:val="22"/>
                <w:szCs w:val="22"/>
              </w:rPr>
            </w:r>
          </w:p>
        </w:tc>
        <w:tc>
          <w:tcPr>
            <w:tcW w:w="4459"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rFonts w:ascii="Times New Roman" w:hAnsi="Times New Roman"/>
                <w:sz w:val="22"/>
                <w:szCs w:val="22"/>
              </w:rPr>
            </w:pPr>
            <w:r>
              <w:rPr>
                <w:rFonts w:eastAsia="Century Gothic" w:cs="Century Gothic" w:ascii="Times New Roman" w:hAnsi="Times New Roman"/>
                <w:b/>
                <w:sz w:val="22"/>
                <w:szCs w:val="22"/>
              </w:rPr>
              <w:t>DESCRIÇÃO/</w:t>
            </w:r>
          </w:p>
          <w:p>
            <w:pPr>
              <w:pStyle w:val="Normal"/>
              <w:widowControl w:val="false"/>
              <w:jc w:val="center"/>
              <w:rPr>
                <w:rFonts w:ascii="Times New Roman" w:hAnsi="Times New Roman"/>
                <w:sz w:val="22"/>
                <w:szCs w:val="22"/>
              </w:rPr>
            </w:pPr>
            <w:r>
              <w:rPr>
                <w:rFonts w:eastAsia="Century Gothic" w:cs="Century Gothic" w:ascii="Times New Roman" w:hAnsi="Times New Roman"/>
                <w:b/>
                <w:sz w:val="22"/>
                <w:szCs w:val="22"/>
              </w:rPr>
              <w:t>ESPECIFICAÇÃO</w:t>
            </w:r>
          </w:p>
        </w:tc>
        <w:tc>
          <w:tcPr>
            <w:tcW w:w="957"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rFonts w:ascii="Times New Roman" w:hAnsi="Times New Roman"/>
                <w:sz w:val="22"/>
                <w:szCs w:val="22"/>
              </w:rPr>
            </w:pPr>
            <w:r>
              <w:rPr>
                <w:rFonts w:eastAsia="Century Gothic" w:cs="Century Gothic" w:ascii="Times New Roman" w:hAnsi="Times New Roman"/>
                <w:b/>
                <w:sz w:val="22"/>
                <w:szCs w:val="22"/>
              </w:rPr>
              <w:t>CÓDIGO CATMAT</w:t>
            </w:r>
          </w:p>
        </w:tc>
        <w:tc>
          <w:tcPr>
            <w:tcW w:w="1416"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rFonts w:ascii="Times New Roman" w:hAnsi="Times New Roman"/>
                <w:sz w:val="22"/>
                <w:szCs w:val="22"/>
              </w:rPr>
            </w:pPr>
            <w:r>
              <w:rPr>
                <w:rFonts w:eastAsia="Century Gothic" w:cs="Century Gothic" w:ascii="Times New Roman" w:hAnsi="Times New Roman"/>
                <w:b/>
                <w:sz w:val="22"/>
                <w:szCs w:val="22"/>
              </w:rPr>
              <w:t xml:space="preserve">UNIDADE </w:t>
            </w:r>
          </w:p>
        </w:tc>
        <w:tc>
          <w:tcPr>
            <w:tcW w:w="993"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rFonts w:ascii="Times New Roman" w:hAnsi="Times New Roman"/>
                <w:sz w:val="22"/>
                <w:szCs w:val="22"/>
              </w:rPr>
            </w:pPr>
            <w:r>
              <w:rPr>
                <w:rFonts w:eastAsia="Century Gothic" w:cs="Century Gothic" w:ascii="Times New Roman" w:hAnsi="Times New Roman"/>
                <w:b/>
                <w:sz w:val="22"/>
                <w:szCs w:val="22"/>
              </w:rPr>
              <w:t>QUANT.</w:t>
            </w:r>
          </w:p>
        </w:tc>
        <w:tc>
          <w:tcPr>
            <w:tcW w:w="992"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rFonts w:ascii="Times New Roman" w:hAnsi="Times New Roman"/>
                <w:sz w:val="22"/>
                <w:szCs w:val="22"/>
              </w:rPr>
            </w:pPr>
            <w:r>
              <w:rPr>
                <w:rFonts w:eastAsia="Century Gothic" w:cs="Century Gothic" w:ascii="Times New Roman" w:hAnsi="Times New Roman"/>
                <w:b/>
                <w:sz w:val="22"/>
                <w:szCs w:val="22"/>
              </w:rPr>
              <w:t>VALOR UNITÁRIO</w:t>
            </w:r>
          </w:p>
          <w:p>
            <w:pPr>
              <w:pStyle w:val="Normal"/>
              <w:widowControl w:val="false"/>
              <w:jc w:val="center"/>
              <w:rPr>
                <w:rFonts w:ascii="Times New Roman" w:hAnsi="Times New Roman" w:eastAsia="Century Gothic" w:cs="Century Gothic"/>
                <w:b/>
                <w:b/>
                <w:sz w:val="22"/>
                <w:szCs w:val="22"/>
              </w:rPr>
            </w:pPr>
            <w:r>
              <w:rPr>
                <w:rFonts w:eastAsia="Century Gothic" w:cs="Century Gothic" w:ascii="Times New Roman" w:hAnsi="Times New Roman"/>
                <w:b/>
                <w:sz w:val="22"/>
                <w:szCs w:val="22"/>
              </w:rPr>
            </w:r>
          </w:p>
        </w:tc>
        <w:tc>
          <w:tcPr>
            <w:tcW w:w="113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rFonts w:ascii="Times New Roman" w:hAnsi="Times New Roman"/>
                <w:sz w:val="22"/>
                <w:szCs w:val="22"/>
              </w:rPr>
            </w:pPr>
            <w:r>
              <w:rPr>
                <w:rFonts w:eastAsia="Century Gothic" w:cs="Century Gothic" w:ascii="Times New Roman" w:hAnsi="Times New Roman"/>
                <w:b/>
                <w:color w:val="000000"/>
                <w:sz w:val="22"/>
                <w:szCs w:val="22"/>
              </w:rPr>
              <w:t>VALOR TOTAL</w:t>
            </w:r>
          </w:p>
        </w:tc>
      </w:tr>
      <w:tr>
        <w:trPr>
          <w:trHeight w:val="184" w:hRule="atLeast"/>
        </w:trPr>
        <w:tc>
          <w:tcPr>
            <w:tcW w:w="53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0" w:after="120"/>
              <w:jc w:val="center"/>
              <w:rPr>
                <w:rFonts w:ascii="Times New Roman" w:hAnsi="Times New Roman"/>
                <w:sz w:val="22"/>
                <w:szCs w:val="22"/>
              </w:rPr>
            </w:pPr>
            <w:r>
              <w:rPr>
                <w:rFonts w:eastAsia="Century Gothic" w:cs="Century Gothic" w:ascii="Times New Roman" w:hAnsi="Times New Roman"/>
                <w:sz w:val="22"/>
                <w:szCs w:val="22"/>
              </w:rPr>
              <w:t>01</w:t>
            </w:r>
          </w:p>
        </w:tc>
        <w:tc>
          <w:tcPr>
            <w:tcW w:w="4459"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rFonts w:ascii="Times New Roman" w:hAnsi="Times New Roman"/>
                <w:sz w:val="22"/>
                <w:szCs w:val="22"/>
              </w:rPr>
            </w:pPr>
            <w:r>
              <w:rPr>
                <w:rFonts w:eastAsia="Century Gothic" w:cs="Century Gothic" w:ascii="Times New Roman" w:hAnsi="Times New Roman"/>
                <w:sz w:val="22"/>
                <w:szCs w:val="22"/>
              </w:rPr>
              <w:t>Pão Francês: 50 gramas Contendo: pão, tipo francês, Ingredientes açúcar, água,</w:t>
            </w:r>
          </w:p>
          <w:p>
            <w:pPr>
              <w:pStyle w:val="Normal"/>
              <w:widowControl w:val="false"/>
              <w:jc w:val="both"/>
              <w:rPr>
                <w:rFonts w:ascii="Times New Roman" w:hAnsi="Times New Roman"/>
                <w:sz w:val="22"/>
                <w:szCs w:val="22"/>
              </w:rPr>
            </w:pPr>
            <w:r>
              <w:rPr>
                <w:rFonts w:eastAsia="Century Gothic" w:cs="Century Gothic" w:ascii="Times New Roman" w:hAnsi="Times New Roman"/>
                <w:sz w:val="22"/>
                <w:szCs w:val="22"/>
              </w:rPr>
              <w:t xml:space="preserve">Fermento biológico, farinha de </w:t>
            </w:r>
            <w:sdt>
              <w:sdtPr>
                <w:id w:val="414111019"/>
              </w:sdtPr>
              <w:sdtContent>
                <w:r>
                  <w:rPr>
                    <w:rFonts w:eastAsia="Century Gothic" w:cs="Century Gothic" w:ascii="Times New Roman" w:hAnsi="Times New Roman"/>
                    <w:sz w:val="22"/>
                    <w:szCs w:val="22"/>
                  </w:rPr>
                  <w:t>trigo,</w:t>
                </w:r>
                <w:sdt>
                  <w:sdtPr>
                    <w:showingPlcHdr/>
                  </w:sdtPr>
                  <w:sdtContent>
                    <w:r>
                      <w:rPr>
                        <w:rFonts w:eastAsia="Century Gothic" w:cs="Century Gothic" w:ascii="Times New Roman" w:hAnsi="Times New Roman"/>
                        <w:sz w:val="22"/>
                        <w:szCs w:val="22"/>
                      </w:rPr>
                    </w:r>
                    <w:r>
                      <w:rPr>
                        <w:rFonts w:eastAsia="Century Gothic" w:cs="Century Gothic" w:ascii="Times New Roman" w:hAnsi="Times New Roman"/>
                        <w:sz w:val="22"/>
                        <w:szCs w:val="22"/>
                      </w:rPr>
                    </w:r>
                    <w:sdt>
                      <w:sdtPr/>
                      <w:sdtContent>
                        <w:r>
                          <w:rPr>
                            <w:rFonts w:eastAsia="Century Gothic" w:cs="Century Gothic" w:ascii="Times New Roman" w:hAnsi="Times New Roman"/>
                            <w:sz w:val="22"/>
                            <w:szCs w:val="22"/>
                          </w:rPr>
                        </w:r>
                      </w:sdtContent>
                    </w:sdt>
                    <w:r>
                      <w:rPr>
                        <w:rFonts w:eastAsia="Century Gothic" w:cs="Century Gothic" w:ascii="Times New Roman" w:hAnsi="Times New Roman"/>
                        <w:sz w:val="22"/>
                        <w:szCs w:val="22"/>
                      </w:rPr>
                    </w:r>
                  </w:sdtContent>
                </w:sdt>
              </w:sdtContent>
            </w:sdt>
            <w:r>
              <w:rPr>
                <w:rFonts w:ascii="Times New Roman" w:hAnsi="Times New Roman"/>
                <w:sz w:val="22"/>
                <w:szCs w:val="22"/>
              </w:rPr>
              <w:t xml:space="preserve">   </w:t>
            </w:r>
            <w:r>
              <w:rPr>
                <w:rFonts w:ascii="Times New Roman" w:hAnsi="Times New Roman"/>
                <w:sz w:val="22"/>
                <w:szCs w:val="22"/>
              </w:rPr>
              <w:t xml:space="preserve">  </w:t>
            </w:r>
            <w:r>
              <w:rPr>
                <w:rFonts w:eastAsia="Century Gothic" w:cs="Century Gothic" w:ascii="Times New Roman" w:hAnsi="Times New Roman"/>
                <w:sz w:val="22"/>
                <w:szCs w:val="22"/>
              </w:rPr>
              <w:t xml:space="preserve"> margarina, peso 50g.</w:t>
            </w:r>
          </w:p>
        </w:tc>
        <w:tc>
          <w:tcPr>
            <w:tcW w:w="95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0" w:after="120"/>
              <w:rPr>
                <w:rFonts w:ascii="Times New Roman" w:hAnsi="Times New Roman"/>
                <w:sz w:val="22"/>
                <w:szCs w:val="22"/>
              </w:rPr>
            </w:pPr>
            <w:r>
              <w:rPr>
                <w:rFonts w:eastAsia="Century Gothic" w:cs="Century Gothic" w:ascii="Times New Roman" w:hAnsi="Times New Roman"/>
                <w:sz w:val="22"/>
                <w:szCs w:val="22"/>
                <w:highlight w:val="white"/>
              </w:rPr>
              <w:t>460380</w:t>
            </w:r>
          </w:p>
        </w:tc>
        <w:tc>
          <w:tcPr>
            <w:tcW w:w="141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0" w:after="120"/>
              <w:jc w:val="center"/>
              <w:rPr>
                <w:rFonts w:ascii="Times New Roman" w:hAnsi="Times New Roman"/>
                <w:sz w:val="22"/>
                <w:szCs w:val="22"/>
              </w:rPr>
            </w:pPr>
            <w:r>
              <w:rPr>
                <w:rFonts w:eastAsia="Century Gothic" w:cs="Century Gothic" w:ascii="Times New Roman" w:hAnsi="Times New Roman"/>
                <w:sz w:val="22"/>
                <w:szCs w:val="22"/>
              </w:rPr>
              <w:t>KG</w:t>
            </w:r>
          </w:p>
        </w:tc>
        <w:tc>
          <w:tcPr>
            <w:tcW w:w="99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0" w:after="120"/>
              <w:jc w:val="center"/>
              <w:rPr>
                <w:rFonts w:ascii="Times New Roman" w:hAnsi="Times New Roman"/>
                <w:sz w:val="22"/>
                <w:szCs w:val="22"/>
              </w:rPr>
            </w:pPr>
            <w:r>
              <w:rPr>
                <w:rFonts w:eastAsia="Century Gothic" w:cs="Century Gothic" w:ascii="Times New Roman" w:hAnsi="Times New Roman"/>
                <w:sz w:val="22"/>
                <w:szCs w:val="22"/>
              </w:rPr>
              <w:t>750</w:t>
            </w:r>
          </w:p>
        </w:tc>
        <w:tc>
          <w:tcPr>
            <w:tcW w:w="992"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0" w:after="120"/>
              <w:jc w:val="center"/>
              <w:rPr>
                <w:rFonts w:ascii="Times New Roman" w:hAnsi="Times New Roman"/>
                <w:sz w:val="22"/>
                <w:szCs w:val="22"/>
              </w:rPr>
            </w:pPr>
            <w:r>
              <w:rPr>
                <w:rFonts w:eastAsia="Century Gothic" w:cs="Century Gothic" w:ascii="Times New Roman" w:hAnsi="Times New Roman"/>
                <w:sz w:val="22"/>
                <w:szCs w:val="22"/>
              </w:rPr>
              <w:t>R$ 13,73</w:t>
            </w:r>
          </w:p>
        </w:tc>
        <w:tc>
          <w:tcPr>
            <w:tcW w:w="113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rFonts w:ascii="Times New Roman" w:hAnsi="Times New Roman"/>
                <w:sz w:val="22"/>
                <w:szCs w:val="22"/>
              </w:rPr>
            </w:pPr>
            <w:r>
              <w:rPr>
                <w:rFonts w:ascii="Times New Roman" w:hAnsi="Times New Roman"/>
                <w:color w:val="000000"/>
                <w:sz w:val="22"/>
                <w:szCs w:val="22"/>
              </w:rPr>
              <w:t>R$ 10.297,50</w:t>
            </w:r>
          </w:p>
        </w:tc>
      </w:tr>
      <w:tr>
        <w:trPr>
          <w:trHeight w:val="184" w:hRule="atLeast"/>
        </w:trPr>
        <w:tc>
          <w:tcPr>
            <w:tcW w:w="53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0" w:after="120"/>
              <w:jc w:val="center"/>
              <w:rPr>
                <w:rFonts w:ascii="Times New Roman" w:hAnsi="Times New Roman"/>
                <w:sz w:val="22"/>
                <w:szCs w:val="22"/>
              </w:rPr>
            </w:pPr>
            <w:r>
              <w:rPr>
                <w:rFonts w:eastAsia="Century Gothic" w:cs="Century Gothic" w:ascii="Times New Roman" w:hAnsi="Times New Roman"/>
                <w:sz w:val="22"/>
                <w:szCs w:val="22"/>
              </w:rPr>
              <w:t>02</w:t>
            </w:r>
          </w:p>
        </w:tc>
        <w:tc>
          <w:tcPr>
            <w:tcW w:w="445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0" w:after="120"/>
              <w:jc w:val="both"/>
              <w:rPr>
                <w:rFonts w:ascii="Times New Roman" w:hAnsi="Times New Roman"/>
                <w:sz w:val="22"/>
                <w:szCs w:val="22"/>
              </w:rPr>
            </w:pPr>
            <w:r>
              <w:rPr>
                <w:rFonts w:eastAsia="Century Gothic" w:cs="Century Gothic" w:ascii="Times New Roman" w:hAnsi="Times New Roman"/>
                <w:sz w:val="22"/>
                <w:szCs w:val="22"/>
              </w:rPr>
              <w:t>Manteiga-Características técnicas: gordura láctea e sal, acondicionada em embalagem de 500g. Valor calórico 730 Kcal/100g (tolerância+/-5%)</w:t>
            </w:r>
          </w:p>
        </w:tc>
        <w:tc>
          <w:tcPr>
            <w:tcW w:w="95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0" w:after="120"/>
              <w:rPr>
                <w:rFonts w:ascii="Times New Roman" w:hAnsi="Times New Roman"/>
                <w:sz w:val="22"/>
                <w:szCs w:val="22"/>
              </w:rPr>
            </w:pPr>
            <w:r>
              <w:rPr>
                <w:rFonts w:eastAsia="Century Gothic" w:cs="Century Gothic" w:ascii="Times New Roman" w:hAnsi="Times New Roman"/>
                <w:sz w:val="22"/>
                <w:szCs w:val="22"/>
                <w:highlight w:val="white"/>
              </w:rPr>
              <w:t>446393</w:t>
            </w:r>
          </w:p>
        </w:tc>
        <w:tc>
          <w:tcPr>
            <w:tcW w:w="141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0" w:after="120"/>
              <w:jc w:val="center"/>
              <w:rPr>
                <w:rFonts w:ascii="Times New Roman" w:hAnsi="Times New Roman"/>
                <w:sz w:val="22"/>
                <w:szCs w:val="22"/>
              </w:rPr>
            </w:pPr>
            <w:r>
              <w:rPr>
                <w:rFonts w:eastAsia="Century Gothic" w:cs="Century Gothic" w:ascii="Times New Roman" w:hAnsi="Times New Roman"/>
                <w:sz w:val="22"/>
                <w:szCs w:val="22"/>
              </w:rPr>
              <w:t>Pote 500g</w:t>
            </w:r>
          </w:p>
        </w:tc>
        <w:tc>
          <w:tcPr>
            <w:tcW w:w="99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0" w:after="120"/>
              <w:jc w:val="center"/>
              <w:rPr>
                <w:rFonts w:ascii="Times New Roman" w:hAnsi="Times New Roman"/>
                <w:sz w:val="22"/>
                <w:szCs w:val="22"/>
              </w:rPr>
            </w:pPr>
            <w:r>
              <w:rPr>
                <w:rFonts w:eastAsia="Century Gothic" w:cs="Century Gothic" w:ascii="Times New Roman" w:hAnsi="Times New Roman"/>
                <w:sz w:val="22"/>
                <w:szCs w:val="22"/>
              </w:rPr>
              <w:t>420</w:t>
            </w:r>
          </w:p>
        </w:tc>
        <w:tc>
          <w:tcPr>
            <w:tcW w:w="992"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0" w:after="120"/>
              <w:jc w:val="center"/>
              <w:rPr>
                <w:rFonts w:ascii="Times New Roman" w:hAnsi="Times New Roman"/>
                <w:sz w:val="22"/>
                <w:szCs w:val="22"/>
              </w:rPr>
            </w:pPr>
            <w:r>
              <w:rPr>
                <w:rFonts w:eastAsia="Century Gothic" w:cs="Century Gothic" w:ascii="Times New Roman" w:hAnsi="Times New Roman"/>
                <w:sz w:val="22"/>
                <w:szCs w:val="22"/>
              </w:rPr>
              <w:t>R$ 24,08</w:t>
            </w:r>
          </w:p>
        </w:tc>
        <w:tc>
          <w:tcPr>
            <w:tcW w:w="113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rFonts w:ascii="Times New Roman" w:hAnsi="Times New Roman"/>
                <w:sz w:val="22"/>
                <w:szCs w:val="22"/>
              </w:rPr>
            </w:pPr>
            <w:r>
              <w:rPr>
                <w:rFonts w:ascii="Times New Roman" w:hAnsi="Times New Roman"/>
                <w:color w:val="000000"/>
                <w:sz w:val="22"/>
                <w:szCs w:val="22"/>
              </w:rPr>
              <w:t>R$ 10.113,60</w:t>
            </w:r>
          </w:p>
        </w:tc>
      </w:tr>
      <w:tr>
        <w:trPr>
          <w:trHeight w:val="1078" w:hRule="atLeast"/>
        </w:trPr>
        <w:tc>
          <w:tcPr>
            <w:tcW w:w="53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0" w:after="120"/>
              <w:jc w:val="center"/>
              <w:rPr>
                <w:rFonts w:ascii="Times New Roman" w:hAnsi="Times New Roman"/>
                <w:sz w:val="22"/>
                <w:szCs w:val="22"/>
              </w:rPr>
            </w:pPr>
            <w:r>
              <w:rPr>
                <w:rFonts w:eastAsia="Century Gothic" w:cs="Century Gothic" w:ascii="Times New Roman" w:hAnsi="Times New Roman"/>
                <w:sz w:val="22"/>
                <w:szCs w:val="22"/>
              </w:rPr>
              <w:t>03</w:t>
            </w:r>
          </w:p>
        </w:tc>
        <w:tc>
          <w:tcPr>
            <w:tcW w:w="4459"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rFonts w:ascii="Times New Roman" w:hAnsi="Times New Roman"/>
                <w:sz w:val="22"/>
                <w:szCs w:val="22"/>
              </w:rPr>
            </w:pPr>
            <w:r>
              <w:rPr>
                <w:rFonts w:eastAsia="Century Gothic" w:cs="Century Gothic" w:ascii="Times New Roman" w:hAnsi="Times New Roman"/>
                <w:sz w:val="22"/>
                <w:szCs w:val="22"/>
              </w:rPr>
              <w:t>Biscoito agua e sal: Ingredientes:  farinha de trigo enriquecida com ferro e ácido fólico, gordura vegetal, amido de milho (sal, açúcar invertido, fermentos químicos (bicarbonato de amônio e bicarbonato de sódio), fermento biológico, soro de leite, extrato de malte, emulsificante lecitina de soja e aromatizante.</w:t>
            </w:r>
          </w:p>
        </w:tc>
        <w:tc>
          <w:tcPr>
            <w:tcW w:w="95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0" w:after="120"/>
              <w:rPr>
                <w:rFonts w:ascii="Times New Roman" w:hAnsi="Times New Roman"/>
                <w:sz w:val="22"/>
                <w:szCs w:val="22"/>
              </w:rPr>
            </w:pPr>
            <w:r>
              <w:rPr>
                <w:rFonts w:eastAsia="Century Gothic" w:cs="Century Gothic" w:ascii="Times New Roman" w:hAnsi="Times New Roman"/>
                <w:sz w:val="22"/>
                <w:szCs w:val="22"/>
              </w:rPr>
              <w:t>333329</w:t>
            </w:r>
          </w:p>
        </w:tc>
        <w:tc>
          <w:tcPr>
            <w:tcW w:w="141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0" w:after="120"/>
              <w:jc w:val="center"/>
              <w:rPr>
                <w:rFonts w:ascii="Times New Roman" w:hAnsi="Times New Roman"/>
                <w:sz w:val="22"/>
                <w:szCs w:val="22"/>
              </w:rPr>
            </w:pPr>
            <w:r>
              <w:rPr>
                <w:rFonts w:eastAsia="Century Gothic" w:cs="Century Gothic" w:ascii="Times New Roman" w:hAnsi="Times New Roman"/>
                <w:sz w:val="22"/>
                <w:szCs w:val="22"/>
              </w:rPr>
              <w:t>Pacote 360g</w:t>
            </w:r>
          </w:p>
        </w:tc>
        <w:tc>
          <w:tcPr>
            <w:tcW w:w="99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0" w:after="120"/>
              <w:jc w:val="center"/>
              <w:rPr>
                <w:rFonts w:ascii="Times New Roman" w:hAnsi="Times New Roman"/>
                <w:sz w:val="22"/>
                <w:szCs w:val="22"/>
              </w:rPr>
            </w:pPr>
            <w:r>
              <w:rPr>
                <w:rFonts w:eastAsia="Century Gothic" w:cs="Century Gothic" w:ascii="Times New Roman" w:hAnsi="Times New Roman"/>
                <w:sz w:val="22"/>
                <w:szCs w:val="22"/>
              </w:rPr>
              <w:t>20</w:t>
            </w:r>
          </w:p>
        </w:tc>
        <w:tc>
          <w:tcPr>
            <w:tcW w:w="992"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0" w:after="120"/>
              <w:jc w:val="center"/>
              <w:rPr>
                <w:rFonts w:ascii="Times New Roman" w:hAnsi="Times New Roman"/>
                <w:sz w:val="22"/>
                <w:szCs w:val="22"/>
              </w:rPr>
            </w:pPr>
            <w:r>
              <w:rPr>
                <w:rFonts w:eastAsia="Century Gothic" w:cs="Century Gothic" w:ascii="Times New Roman" w:hAnsi="Times New Roman"/>
                <w:sz w:val="22"/>
                <w:szCs w:val="22"/>
              </w:rPr>
              <w:t>R$ 6,90</w:t>
            </w:r>
          </w:p>
        </w:tc>
        <w:tc>
          <w:tcPr>
            <w:tcW w:w="113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rFonts w:ascii="Times New Roman" w:hAnsi="Times New Roman"/>
                <w:sz w:val="22"/>
                <w:szCs w:val="22"/>
              </w:rPr>
            </w:pPr>
            <w:r>
              <w:rPr>
                <w:rFonts w:ascii="Times New Roman" w:hAnsi="Times New Roman"/>
                <w:color w:val="000000"/>
                <w:sz w:val="22"/>
                <w:szCs w:val="22"/>
              </w:rPr>
              <w:t>R$ 138,00</w:t>
            </w:r>
          </w:p>
        </w:tc>
      </w:tr>
      <w:tr>
        <w:trPr>
          <w:trHeight w:val="184" w:hRule="atLeast"/>
        </w:trPr>
        <w:tc>
          <w:tcPr>
            <w:tcW w:w="53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0" w:after="120"/>
              <w:jc w:val="center"/>
              <w:rPr>
                <w:rFonts w:ascii="Times New Roman" w:hAnsi="Times New Roman"/>
                <w:sz w:val="22"/>
                <w:szCs w:val="22"/>
              </w:rPr>
            </w:pPr>
            <w:r>
              <w:rPr>
                <w:rFonts w:eastAsia="Century Gothic" w:cs="Century Gothic" w:ascii="Times New Roman" w:hAnsi="Times New Roman"/>
                <w:sz w:val="22"/>
                <w:szCs w:val="22"/>
              </w:rPr>
              <w:t>04</w:t>
            </w:r>
          </w:p>
        </w:tc>
        <w:tc>
          <w:tcPr>
            <w:tcW w:w="4459"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rFonts w:ascii="Times New Roman" w:hAnsi="Times New Roman"/>
                <w:sz w:val="22"/>
                <w:szCs w:val="22"/>
              </w:rPr>
            </w:pPr>
            <w:r>
              <w:rPr>
                <w:rFonts w:eastAsia="Century Gothic" w:cs="Century Gothic" w:ascii="Times New Roman" w:hAnsi="Times New Roman"/>
                <w:sz w:val="22"/>
                <w:szCs w:val="22"/>
                <w:highlight w:val="white"/>
              </w:rPr>
              <w:t>Pó de café: Apresentação: Torrado Moído Intensidade: Média Tipo: Tradicional Empacotamento: Vácuo Prazo Validade Mínimo: 15 Meses. Pacote 500g. Selo abic</w:t>
            </w:r>
          </w:p>
        </w:tc>
        <w:tc>
          <w:tcPr>
            <w:tcW w:w="95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0" w:after="120"/>
              <w:rPr>
                <w:rFonts w:ascii="Times New Roman" w:hAnsi="Times New Roman"/>
                <w:sz w:val="22"/>
                <w:szCs w:val="22"/>
              </w:rPr>
            </w:pPr>
            <w:r>
              <w:rPr>
                <w:rFonts w:eastAsia="Century Gothic" w:cs="Century Gothic" w:ascii="Times New Roman" w:hAnsi="Times New Roman"/>
                <w:sz w:val="22"/>
                <w:szCs w:val="22"/>
                <w:highlight w:val="white"/>
              </w:rPr>
              <w:t>463593</w:t>
            </w:r>
          </w:p>
        </w:tc>
        <w:tc>
          <w:tcPr>
            <w:tcW w:w="141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0" w:after="120"/>
              <w:jc w:val="center"/>
              <w:rPr>
                <w:rFonts w:ascii="Times New Roman" w:hAnsi="Times New Roman"/>
                <w:sz w:val="22"/>
                <w:szCs w:val="22"/>
              </w:rPr>
            </w:pPr>
            <w:r>
              <w:rPr>
                <w:rFonts w:eastAsia="Century Gothic" w:cs="Century Gothic" w:ascii="Times New Roman" w:hAnsi="Times New Roman"/>
                <w:sz w:val="22"/>
                <w:szCs w:val="22"/>
              </w:rPr>
              <w:t>Pacote 500g</w:t>
            </w:r>
          </w:p>
        </w:tc>
        <w:tc>
          <w:tcPr>
            <w:tcW w:w="99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0" w:after="120"/>
              <w:jc w:val="center"/>
              <w:rPr>
                <w:rFonts w:ascii="Times New Roman" w:hAnsi="Times New Roman"/>
                <w:sz w:val="22"/>
                <w:szCs w:val="22"/>
              </w:rPr>
            </w:pPr>
            <w:r>
              <w:rPr>
                <w:rFonts w:eastAsia="Century Gothic" w:cs="Century Gothic" w:ascii="Times New Roman" w:hAnsi="Times New Roman"/>
                <w:sz w:val="22"/>
                <w:szCs w:val="22"/>
              </w:rPr>
              <w:t>200</w:t>
            </w:r>
          </w:p>
        </w:tc>
        <w:tc>
          <w:tcPr>
            <w:tcW w:w="992"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0" w:after="120"/>
              <w:jc w:val="center"/>
              <w:rPr>
                <w:rFonts w:ascii="Times New Roman" w:hAnsi="Times New Roman"/>
                <w:sz w:val="22"/>
                <w:szCs w:val="22"/>
              </w:rPr>
            </w:pPr>
            <w:r>
              <w:rPr>
                <w:rFonts w:eastAsia="Century Gothic" w:cs="Century Gothic" w:ascii="Times New Roman" w:hAnsi="Times New Roman"/>
                <w:sz w:val="22"/>
                <w:szCs w:val="22"/>
              </w:rPr>
              <w:t>R$ 19,53</w:t>
            </w:r>
          </w:p>
        </w:tc>
        <w:tc>
          <w:tcPr>
            <w:tcW w:w="113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rFonts w:ascii="Times New Roman" w:hAnsi="Times New Roman"/>
                <w:sz w:val="22"/>
                <w:szCs w:val="22"/>
              </w:rPr>
            </w:pPr>
            <w:r>
              <w:rPr>
                <w:rFonts w:ascii="Times New Roman" w:hAnsi="Times New Roman"/>
                <w:color w:val="000000"/>
                <w:sz w:val="22"/>
                <w:szCs w:val="22"/>
              </w:rPr>
              <w:t>R$ 3.906,00</w:t>
            </w:r>
          </w:p>
        </w:tc>
      </w:tr>
      <w:tr>
        <w:trPr>
          <w:trHeight w:val="184" w:hRule="atLeast"/>
        </w:trPr>
        <w:tc>
          <w:tcPr>
            <w:tcW w:w="53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0" w:after="120"/>
              <w:jc w:val="center"/>
              <w:rPr>
                <w:rFonts w:ascii="Times New Roman" w:hAnsi="Times New Roman"/>
                <w:sz w:val="22"/>
                <w:szCs w:val="22"/>
              </w:rPr>
            </w:pPr>
            <w:r>
              <w:rPr>
                <w:rFonts w:eastAsia="Century Gothic" w:cs="Century Gothic" w:ascii="Times New Roman" w:hAnsi="Times New Roman"/>
                <w:sz w:val="22"/>
                <w:szCs w:val="22"/>
              </w:rPr>
              <w:t>05</w:t>
            </w:r>
          </w:p>
        </w:tc>
        <w:tc>
          <w:tcPr>
            <w:tcW w:w="4459"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rFonts w:ascii="Times New Roman" w:hAnsi="Times New Roman"/>
                <w:sz w:val="22"/>
                <w:szCs w:val="22"/>
              </w:rPr>
            </w:pPr>
            <w:r>
              <w:rPr>
                <w:rFonts w:eastAsia="Century Gothic" w:cs="Century Gothic" w:ascii="Times New Roman" w:hAnsi="Times New Roman"/>
                <w:sz w:val="22"/>
                <w:szCs w:val="22"/>
              </w:rPr>
              <w:t xml:space="preserve">Açúcar </w:t>
            </w:r>
            <w:r>
              <w:rPr>
                <w:rFonts w:eastAsia="Century Gothic" w:cs="Century Gothic" w:ascii="Times New Roman" w:hAnsi="Times New Roman"/>
                <w:sz w:val="22"/>
                <w:szCs w:val="22"/>
                <w:highlight w:val="white"/>
              </w:rPr>
              <w:t>Tipo: Cristal Prazo Validade Mínimo: 12 Meses. Cor branca. Pacote 5 kg</w:t>
            </w:r>
          </w:p>
        </w:tc>
        <w:tc>
          <w:tcPr>
            <w:tcW w:w="95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0" w:after="120"/>
              <w:rPr>
                <w:rFonts w:ascii="Times New Roman" w:hAnsi="Times New Roman"/>
                <w:sz w:val="22"/>
                <w:szCs w:val="22"/>
              </w:rPr>
            </w:pPr>
            <w:r>
              <w:rPr>
                <w:rFonts w:eastAsia="Century Gothic" w:cs="Century Gothic" w:ascii="Times New Roman" w:hAnsi="Times New Roman"/>
                <w:sz w:val="22"/>
                <w:szCs w:val="22"/>
                <w:highlight w:val="white"/>
              </w:rPr>
              <w:t>463990</w:t>
            </w:r>
          </w:p>
        </w:tc>
        <w:tc>
          <w:tcPr>
            <w:tcW w:w="141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0" w:after="120"/>
              <w:jc w:val="center"/>
              <w:rPr>
                <w:rFonts w:ascii="Times New Roman" w:hAnsi="Times New Roman"/>
                <w:sz w:val="22"/>
                <w:szCs w:val="22"/>
              </w:rPr>
            </w:pPr>
            <w:r>
              <w:rPr>
                <w:rFonts w:eastAsia="Century Gothic" w:cs="Century Gothic" w:ascii="Times New Roman" w:hAnsi="Times New Roman"/>
                <w:sz w:val="22"/>
                <w:szCs w:val="22"/>
              </w:rPr>
              <w:t>Embalagem 5kg</w:t>
            </w:r>
          </w:p>
        </w:tc>
        <w:tc>
          <w:tcPr>
            <w:tcW w:w="99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0" w:after="120"/>
              <w:jc w:val="center"/>
              <w:rPr>
                <w:rFonts w:ascii="Times New Roman" w:hAnsi="Times New Roman"/>
                <w:sz w:val="22"/>
                <w:szCs w:val="22"/>
              </w:rPr>
            </w:pPr>
            <w:r>
              <w:rPr>
                <w:rFonts w:eastAsia="Century Gothic" w:cs="Century Gothic" w:ascii="Times New Roman" w:hAnsi="Times New Roman"/>
                <w:sz w:val="22"/>
                <w:szCs w:val="22"/>
              </w:rPr>
              <w:t>75</w:t>
            </w:r>
          </w:p>
        </w:tc>
        <w:tc>
          <w:tcPr>
            <w:tcW w:w="992"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0" w:after="120"/>
              <w:jc w:val="center"/>
              <w:rPr>
                <w:rFonts w:ascii="Times New Roman" w:hAnsi="Times New Roman"/>
                <w:sz w:val="22"/>
                <w:szCs w:val="22"/>
              </w:rPr>
            </w:pPr>
            <w:r>
              <w:rPr>
                <w:rFonts w:eastAsia="Century Gothic" w:cs="Century Gothic" w:ascii="Times New Roman" w:hAnsi="Times New Roman"/>
                <w:sz w:val="22"/>
                <w:szCs w:val="22"/>
              </w:rPr>
              <w:t>R$ 19,86</w:t>
            </w:r>
          </w:p>
        </w:tc>
        <w:tc>
          <w:tcPr>
            <w:tcW w:w="113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rFonts w:ascii="Times New Roman" w:hAnsi="Times New Roman"/>
                <w:sz w:val="22"/>
                <w:szCs w:val="22"/>
              </w:rPr>
            </w:pPr>
            <w:r>
              <w:rPr>
                <w:rFonts w:ascii="Times New Roman" w:hAnsi="Times New Roman"/>
                <w:color w:val="000000"/>
                <w:sz w:val="22"/>
                <w:szCs w:val="22"/>
              </w:rPr>
              <w:t>R$ 1.489,50</w:t>
            </w:r>
          </w:p>
        </w:tc>
      </w:tr>
      <w:tr>
        <w:trPr>
          <w:trHeight w:val="184" w:hRule="atLeast"/>
        </w:trPr>
        <w:tc>
          <w:tcPr>
            <w:tcW w:w="53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0" w:after="120"/>
              <w:jc w:val="center"/>
              <w:rPr>
                <w:rFonts w:ascii="Times New Roman" w:hAnsi="Times New Roman"/>
                <w:sz w:val="22"/>
                <w:szCs w:val="22"/>
              </w:rPr>
            </w:pPr>
            <w:r>
              <w:rPr>
                <w:rFonts w:eastAsia="Century Gothic" w:cs="Century Gothic" w:ascii="Times New Roman" w:hAnsi="Times New Roman"/>
                <w:sz w:val="22"/>
                <w:szCs w:val="22"/>
              </w:rPr>
              <w:t>06</w:t>
            </w:r>
          </w:p>
        </w:tc>
        <w:tc>
          <w:tcPr>
            <w:tcW w:w="4459"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rFonts w:ascii="Times New Roman" w:hAnsi="Times New Roman"/>
                <w:sz w:val="22"/>
                <w:szCs w:val="22"/>
              </w:rPr>
            </w:pPr>
            <w:r>
              <w:rPr>
                <w:rFonts w:eastAsia="Century Gothic" w:cs="Century Gothic" w:ascii="Times New Roman" w:hAnsi="Times New Roman"/>
                <w:sz w:val="22"/>
                <w:szCs w:val="22"/>
              </w:rPr>
              <w:t xml:space="preserve">Adoçante </w:t>
            </w:r>
            <w:r>
              <w:rPr>
                <w:rFonts w:eastAsia="Century Gothic" w:cs="Century Gothic" w:ascii="Times New Roman" w:hAnsi="Times New Roman"/>
                <w:sz w:val="22"/>
                <w:szCs w:val="22"/>
                <w:highlight w:val="white"/>
              </w:rPr>
              <w:t>Aspecto Físico: Líquido Transparente Ingredientes: Sucralose</w:t>
            </w:r>
          </w:p>
          <w:p>
            <w:pPr>
              <w:pStyle w:val="Normal"/>
              <w:widowControl w:val="false"/>
              <w:jc w:val="both"/>
              <w:rPr>
                <w:rFonts w:ascii="Times New Roman" w:hAnsi="Times New Roman"/>
                <w:sz w:val="22"/>
                <w:szCs w:val="22"/>
              </w:rPr>
            </w:pPr>
            <w:r>
              <w:rPr>
                <w:rFonts w:eastAsia="Century Gothic" w:cs="Century Gothic" w:ascii="Times New Roman" w:hAnsi="Times New Roman"/>
                <w:sz w:val="22"/>
                <w:szCs w:val="22"/>
                <w:highlight w:val="white"/>
              </w:rPr>
              <w:t>Prazo Validade: 1 ANO Tipo: Dietético Características Adicionais: Bico Dosador</w:t>
            </w:r>
          </w:p>
        </w:tc>
        <w:tc>
          <w:tcPr>
            <w:tcW w:w="957" w:type="dxa"/>
            <w:tcBorders>
              <w:top w:val="single" w:sz="4" w:space="0" w:color="000000"/>
              <w:left w:val="single" w:sz="4" w:space="0" w:color="000000"/>
              <w:bottom w:val="single" w:sz="4" w:space="0" w:color="000000"/>
              <w:right w:val="single" w:sz="4" w:space="0" w:color="000000"/>
            </w:tcBorders>
          </w:tcPr>
          <w:p>
            <w:pPr>
              <w:pStyle w:val="Normal"/>
              <w:widowControl w:val="false"/>
              <w:rPr>
                <w:rFonts w:ascii="Times New Roman" w:hAnsi="Times New Roman"/>
                <w:sz w:val="22"/>
                <w:szCs w:val="22"/>
              </w:rPr>
            </w:pPr>
            <w:r>
              <w:rPr>
                <w:rFonts w:eastAsia="Century Gothic" w:cs="Century Gothic" w:ascii="Times New Roman" w:hAnsi="Times New Roman"/>
                <w:sz w:val="22"/>
                <w:szCs w:val="22"/>
              </w:rPr>
              <w:t>407523</w:t>
            </w:r>
          </w:p>
          <w:p>
            <w:pPr>
              <w:pStyle w:val="Normal"/>
              <w:widowControl w:val="false"/>
              <w:spacing w:lineRule="auto" w:line="276" w:before="0" w:after="120"/>
              <w:rPr>
                <w:rFonts w:ascii="Times New Roman" w:hAnsi="Times New Roman" w:eastAsia="Century Gothic" w:cs="Century Gothic"/>
                <w:sz w:val="22"/>
                <w:szCs w:val="22"/>
                <w:highlight w:val="white"/>
              </w:rPr>
            </w:pPr>
            <w:r>
              <w:rPr>
                <w:rFonts w:eastAsia="Century Gothic" w:cs="Century Gothic" w:ascii="Times New Roman" w:hAnsi="Times New Roman"/>
                <w:sz w:val="22"/>
                <w:szCs w:val="22"/>
                <w:highlight w:val="white"/>
              </w:rPr>
            </w:r>
          </w:p>
        </w:tc>
        <w:tc>
          <w:tcPr>
            <w:tcW w:w="141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0" w:after="120"/>
              <w:jc w:val="center"/>
              <w:rPr>
                <w:rFonts w:ascii="Times New Roman" w:hAnsi="Times New Roman"/>
                <w:sz w:val="22"/>
                <w:szCs w:val="22"/>
              </w:rPr>
            </w:pPr>
            <w:r>
              <w:rPr>
                <w:rFonts w:eastAsia="Century Gothic" w:cs="Century Gothic" w:ascii="Times New Roman" w:hAnsi="Times New Roman"/>
                <w:sz w:val="22"/>
                <w:szCs w:val="22"/>
              </w:rPr>
              <w:t>Frasco 100 ml</w:t>
            </w:r>
          </w:p>
        </w:tc>
        <w:tc>
          <w:tcPr>
            <w:tcW w:w="99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0" w:after="120"/>
              <w:jc w:val="center"/>
              <w:rPr>
                <w:rFonts w:ascii="Times New Roman" w:hAnsi="Times New Roman"/>
                <w:sz w:val="22"/>
                <w:szCs w:val="22"/>
              </w:rPr>
            </w:pPr>
            <w:r>
              <w:rPr>
                <w:rFonts w:eastAsia="Century Gothic" w:cs="Century Gothic" w:ascii="Times New Roman" w:hAnsi="Times New Roman"/>
                <w:sz w:val="22"/>
                <w:szCs w:val="22"/>
              </w:rPr>
              <w:t>30</w:t>
            </w:r>
          </w:p>
        </w:tc>
        <w:tc>
          <w:tcPr>
            <w:tcW w:w="992"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0" w:after="120"/>
              <w:jc w:val="center"/>
              <w:rPr>
                <w:rFonts w:ascii="Times New Roman" w:hAnsi="Times New Roman"/>
                <w:sz w:val="22"/>
                <w:szCs w:val="22"/>
              </w:rPr>
            </w:pPr>
            <w:r>
              <w:rPr>
                <w:rFonts w:eastAsia="Century Gothic" w:cs="Century Gothic" w:ascii="Times New Roman" w:hAnsi="Times New Roman"/>
                <w:sz w:val="22"/>
                <w:szCs w:val="22"/>
              </w:rPr>
              <w:t>R$ 4,93</w:t>
            </w:r>
          </w:p>
        </w:tc>
        <w:tc>
          <w:tcPr>
            <w:tcW w:w="113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rFonts w:ascii="Times New Roman" w:hAnsi="Times New Roman"/>
                <w:sz w:val="22"/>
                <w:szCs w:val="22"/>
              </w:rPr>
            </w:pPr>
            <w:r>
              <w:rPr>
                <w:rFonts w:ascii="Times New Roman" w:hAnsi="Times New Roman"/>
                <w:color w:val="000000"/>
                <w:sz w:val="22"/>
                <w:szCs w:val="22"/>
              </w:rPr>
              <w:t>R$ 147,90</w:t>
            </w:r>
          </w:p>
        </w:tc>
      </w:tr>
      <w:tr>
        <w:trPr>
          <w:trHeight w:val="184" w:hRule="atLeast"/>
        </w:trPr>
        <w:tc>
          <w:tcPr>
            <w:tcW w:w="53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0" w:after="120"/>
              <w:jc w:val="center"/>
              <w:rPr>
                <w:rFonts w:ascii="Times New Roman" w:hAnsi="Times New Roman"/>
                <w:sz w:val="22"/>
                <w:szCs w:val="22"/>
              </w:rPr>
            </w:pPr>
            <w:r>
              <w:rPr>
                <w:rFonts w:eastAsia="Century Gothic" w:cs="Century Gothic" w:ascii="Times New Roman" w:hAnsi="Times New Roman"/>
                <w:sz w:val="22"/>
                <w:szCs w:val="22"/>
              </w:rPr>
              <w:t>07</w:t>
            </w:r>
          </w:p>
        </w:tc>
        <w:tc>
          <w:tcPr>
            <w:tcW w:w="445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0" w:after="120"/>
              <w:jc w:val="both"/>
              <w:rPr>
                <w:rFonts w:ascii="Times New Roman" w:hAnsi="Times New Roman"/>
                <w:sz w:val="22"/>
                <w:szCs w:val="22"/>
              </w:rPr>
            </w:pPr>
            <w:r>
              <w:rPr>
                <w:rFonts w:eastAsia="Century Gothic" w:cs="Century Gothic" w:ascii="Times New Roman" w:hAnsi="Times New Roman"/>
                <w:sz w:val="22"/>
                <w:szCs w:val="22"/>
              </w:rPr>
              <w:t>Óleo de girassol</w:t>
            </w:r>
          </w:p>
        </w:tc>
        <w:tc>
          <w:tcPr>
            <w:tcW w:w="95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rPr>
                <w:rFonts w:ascii="Times New Roman" w:hAnsi="Times New Roman" w:eastAsia="Century Gothic" w:cs="Century Gothic"/>
                <w:sz w:val="22"/>
                <w:szCs w:val="22"/>
              </w:rPr>
            </w:pPr>
            <w:r>
              <w:rPr>
                <w:rFonts w:eastAsia="Century Gothic" w:cs="Century Gothic" w:ascii="Times New Roman" w:hAnsi="Times New Roman"/>
                <w:sz w:val="22"/>
                <w:szCs w:val="22"/>
              </w:rPr>
            </w:r>
          </w:p>
          <w:tbl>
            <w:tblPr>
              <w:tblStyle w:val="a2"/>
              <w:tblW w:w="13083" w:type="dxa"/>
              <w:jc w:val="left"/>
              <w:tblInd w:w="0" w:type="dxa"/>
              <w:tblLayout w:type="fixed"/>
              <w:tblCellMar>
                <w:top w:w="15" w:type="dxa"/>
                <w:left w:w="15" w:type="dxa"/>
                <w:bottom w:w="15" w:type="dxa"/>
                <w:right w:w="15" w:type="dxa"/>
              </w:tblCellMar>
              <w:tblLook w:firstRow="0" w:noVBand="0" w:lastRow="0" w:firstColumn="0" w:lastColumn="0" w:noHBand="0" w:val="0000"/>
            </w:tblPr>
            <w:tblGrid>
              <w:gridCol w:w="2179"/>
              <w:gridCol w:w="7633"/>
              <w:gridCol w:w="3271"/>
            </w:tblGrid>
            <w:tr>
              <w:trPr>
                <w:trHeight w:val="163" w:hRule="atLeast"/>
              </w:trPr>
              <w:tc>
                <w:tcPr>
                  <w:tcW w:w="2179" w:type="dxa"/>
                  <w:tcBorders>
                    <w:top w:val="single" w:sz="4" w:space="0" w:color="E9ECEF"/>
                    <w:left w:val="single" w:sz="4" w:space="0" w:color="E9ECEF"/>
                    <w:bottom w:val="single" w:sz="6" w:space="0" w:color="E9ECEF"/>
                    <w:right w:val="single" w:sz="4" w:space="0" w:color="E9ECEF"/>
                  </w:tcBorders>
                  <w:shd w:color="auto" w:fill="FFFFFF" w:val="clear"/>
                  <w:vAlign w:val="center"/>
                </w:tcPr>
                <w:p>
                  <w:pPr>
                    <w:pStyle w:val="Normal"/>
                    <w:widowControl w:val="false"/>
                    <w:rPr>
                      <w:rFonts w:ascii="Times New Roman" w:hAnsi="Times New Roman" w:eastAsia="Century Gothic" w:cs="Century Gothic"/>
                      <w:sz w:val="22"/>
                      <w:szCs w:val="22"/>
                    </w:rPr>
                  </w:pPr>
                  <w:r>
                    <w:rPr>
                      <w:rFonts w:eastAsia="Century Gothic" w:cs="Century Gothic" w:ascii="Times New Roman" w:hAnsi="Times New Roman"/>
                      <w:sz w:val="22"/>
                      <w:szCs w:val="22"/>
                    </w:rPr>
                  </w:r>
                </w:p>
              </w:tc>
              <w:tc>
                <w:tcPr>
                  <w:tcW w:w="7633" w:type="dxa"/>
                  <w:tcBorders>
                    <w:top w:val="single" w:sz="4" w:space="0" w:color="E9ECEF"/>
                    <w:left w:val="single" w:sz="4" w:space="0" w:color="E9ECEF"/>
                    <w:bottom w:val="single" w:sz="6" w:space="0" w:color="E9ECEF"/>
                    <w:right w:val="single" w:sz="4" w:space="0" w:color="E9ECEF"/>
                  </w:tcBorders>
                  <w:shd w:color="auto" w:fill="FFFFFF" w:val="clear"/>
                  <w:vAlign w:val="center"/>
                </w:tcPr>
                <w:p>
                  <w:pPr>
                    <w:pStyle w:val="Normal"/>
                    <w:widowControl w:val="false"/>
                    <w:rPr>
                      <w:rFonts w:ascii="Times New Roman" w:hAnsi="Times New Roman"/>
                      <w:sz w:val="22"/>
                      <w:szCs w:val="22"/>
                    </w:rPr>
                  </w:pPr>
                  <w:r>
                    <w:rPr>
                      <w:rFonts w:eastAsia="Century Gothic" w:cs="Century Gothic" w:ascii="Times New Roman" w:hAnsi="Times New Roman"/>
                      <w:sz w:val="22"/>
                      <w:szCs w:val="22"/>
                    </w:rPr>
                    <w:t>Nome do Material </w:t>
                  </w:r>
                </w:p>
              </w:tc>
              <w:tc>
                <w:tcPr>
                  <w:tcW w:w="3271" w:type="dxa"/>
                  <w:tcBorders>
                    <w:top w:val="single" w:sz="4" w:space="0" w:color="E9ECEF"/>
                    <w:left w:val="single" w:sz="4" w:space="0" w:color="E9ECEF"/>
                    <w:bottom w:val="single" w:sz="6" w:space="0" w:color="E9ECEF"/>
                    <w:right w:val="single" w:sz="4" w:space="0" w:color="E9ECEF"/>
                  </w:tcBorders>
                  <w:shd w:color="auto" w:fill="FFFFFF" w:val="clear"/>
                  <w:vAlign w:val="center"/>
                </w:tcPr>
                <w:p>
                  <w:pPr>
                    <w:pStyle w:val="Normal"/>
                    <w:widowControl w:val="false"/>
                    <w:rPr>
                      <w:rFonts w:ascii="Times New Roman" w:hAnsi="Times New Roman"/>
                      <w:sz w:val="22"/>
                      <w:szCs w:val="22"/>
                    </w:rPr>
                  </w:pPr>
                  <w:r>
                    <w:rPr>
                      <w:rFonts w:eastAsia="Century Gothic" w:cs="Century Gothic" w:ascii="Times New Roman" w:hAnsi="Times New Roman"/>
                      <w:sz w:val="22"/>
                      <w:szCs w:val="22"/>
                    </w:rPr>
                    <w:t>Ação </w:t>
                  </w:r>
                </w:p>
              </w:tc>
            </w:tr>
            <w:tr>
              <w:trPr>
                <w:trHeight w:val="176" w:hRule="atLeast"/>
              </w:trPr>
              <w:tc>
                <w:tcPr>
                  <w:tcW w:w="2179" w:type="dxa"/>
                  <w:tcBorders>
                    <w:top w:val="single" w:sz="4" w:space="0" w:color="E9ECEF"/>
                    <w:left w:val="single" w:sz="4" w:space="0" w:color="E9ECEF"/>
                    <w:bottom w:val="single" w:sz="6" w:space="0" w:color="E9ECEF"/>
                    <w:right w:val="single" w:sz="4" w:space="0" w:color="E9ECEF"/>
                  </w:tcBorders>
                  <w:shd w:color="auto" w:fill="FFFFFF" w:val="clear"/>
                  <w:vAlign w:val="center"/>
                </w:tcPr>
                <w:p>
                  <w:pPr>
                    <w:pStyle w:val="Normal"/>
                    <w:widowControl w:val="false"/>
                    <w:rPr>
                      <w:rFonts w:ascii="Times New Roman" w:hAnsi="Times New Roman"/>
                      <w:sz w:val="22"/>
                      <w:szCs w:val="22"/>
                    </w:rPr>
                  </w:pPr>
                  <w:r>
                    <w:rPr>
                      <w:rFonts w:eastAsia="Century Gothic" w:cs="Century Gothic" w:ascii="Times New Roman" w:hAnsi="Times New Roman"/>
                      <w:sz w:val="22"/>
                      <w:szCs w:val="22"/>
                    </w:rPr>
                    <w:t>452484</w:t>
                  </w:r>
                </w:p>
              </w:tc>
              <w:tc>
                <w:tcPr>
                  <w:tcW w:w="7633"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Normal"/>
                    <w:widowControl w:val="false"/>
                    <w:rPr>
                      <w:rFonts w:ascii="Times New Roman" w:hAnsi="Times New Roman" w:eastAsia="Century Gothic" w:cs="Century Gothic"/>
                      <w:sz w:val="22"/>
                      <w:szCs w:val="22"/>
                    </w:rPr>
                  </w:pPr>
                  <w:r>
                    <w:rPr>
                      <w:rFonts w:eastAsia="Century Gothic" w:cs="Century Gothic" w:ascii="Times New Roman" w:hAnsi="Times New Roman"/>
                      <w:sz w:val="22"/>
                      <w:szCs w:val="22"/>
                    </w:rPr>
                  </w:r>
                </w:p>
              </w:tc>
              <w:tc>
                <w:tcPr>
                  <w:tcW w:w="3271"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Normal"/>
                    <w:widowControl w:val="false"/>
                    <w:rPr>
                      <w:rFonts w:ascii="Times New Roman" w:hAnsi="Times New Roman" w:eastAsia="Century Gothic" w:cs="Century Gothic"/>
                      <w:sz w:val="22"/>
                      <w:szCs w:val="22"/>
                    </w:rPr>
                  </w:pPr>
                  <w:r>
                    <w:rPr>
                      <w:rFonts w:eastAsia="Century Gothic" w:cs="Century Gothic" w:ascii="Times New Roman" w:hAnsi="Times New Roman"/>
                      <w:sz w:val="22"/>
                      <w:szCs w:val="22"/>
                    </w:rPr>
                  </w:r>
                </w:p>
              </w:tc>
            </w:tr>
          </w:tbl>
          <w:p>
            <w:pPr>
              <w:pStyle w:val="Normal"/>
              <w:widowControl w:val="false"/>
              <w:spacing w:lineRule="auto" w:line="276" w:before="0" w:after="120"/>
              <w:rPr>
                <w:rFonts w:ascii="Times New Roman" w:hAnsi="Times New Roman" w:eastAsia="Century Gothic" w:cs="Century Gothic"/>
                <w:sz w:val="22"/>
                <w:szCs w:val="22"/>
                <w:highlight w:val="white"/>
              </w:rPr>
            </w:pPr>
            <w:r>
              <w:rPr>
                <w:rFonts w:eastAsia="Century Gothic" w:cs="Century Gothic" w:ascii="Times New Roman" w:hAnsi="Times New Roman"/>
                <w:sz w:val="22"/>
                <w:szCs w:val="22"/>
                <w:highlight w:val="white"/>
              </w:rPr>
            </w:r>
          </w:p>
        </w:tc>
        <w:tc>
          <w:tcPr>
            <w:tcW w:w="141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0" w:after="120"/>
              <w:jc w:val="center"/>
              <w:rPr>
                <w:rFonts w:ascii="Times New Roman" w:hAnsi="Times New Roman"/>
                <w:sz w:val="22"/>
                <w:szCs w:val="22"/>
              </w:rPr>
            </w:pPr>
            <w:r>
              <w:rPr>
                <w:rFonts w:eastAsia="Century Gothic" w:cs="Century Gothic" w:ascii="Times New Roman" w:hAnsi="Times New Roman"/>
                <w:sz w:val="22"/>
                <w:szCs w:val="22"/>
              </w:rPr>
              <w:t>Frasco 900 ml</w:t>
            </w:r>
          </w:p>
        </w:tc>
        <w:tc>
          <w:tcPr>
            <w:tcW w:w="99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0" w:after="120"/>
              <w:jc w:val="center"/>
              <w:rPr>
                <w:rFonts w:ascii="Times New Roman" w:hAnsi="Times New Roman"/>
                <w:sz w:val="22"/>
                <w:szCs w:val="22"/>
              </w:rPr>
            </w:pPr>
            <w:r>
              <w:rPr>
                <w:rFonts w:eastAsia="Century Gothic" w:cs="Century Gothic" w:ascii="Times New Roman" w:hAnsi="Times New Roman"/>
                <w:sz w:val="22"/>
                <w:szCs w:val="22"/>
              </w:rPr>
              <w:t>04</w:t>
            </w:r>
          </w:p>
        </w:tc>
        <w:tc>
          <w:tcPr>
            <w:tcW w:w="992"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0" w:after="120"/>
              <w:jc w:val="center"/>
              <w:rPr>
                <w:rFonts w:ascii="Times New Roman" w:hAnsi="Times New Roman"/>
                <w:sz w:val="22"/>
                <w:szCs w:val="22"/>
              </w:rPr>
            </w:pPr>
            <w:r>
              <w:rPr>
                <w:rFonts w:eastAsia="Century Gothic" w:cs="Century Gothic" w:ascii="Times New Roman" w:hAnsi="Times New Roman"/>
                <w:sz w:val="22"/>
                <w:szCs w:val="22"/>
              </w:rPr>
              <w:t>R$14,55</w:t>
            </w:r>
          </w:p>
        </w:tc>
        <w:tc>
          <w:tcPr>
            <w:tcW w:w="113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rFonts w:ascii="Times New Roman" w:hAnsi="Times New Roman"/>
                <w:sz w:val="22"/>
                <w:szCs w:val="22"/>
              </w:rPr>
            </w:pPr>
            <w:r>
              <w:rPr>
                <w:rFonts w:ascii="Times New Roman" w:hAnsi="Times New Roman"/>
                <w:color w:val="000000"/>
                <w:sz w:val="22"/>
                <w:szCs w:val="22"/>
              </w:rPr>
              <w:t>R$ 58,20</w:t>
            </w:r>
          </w:p>
        </w:tc>
      </w:tr>
      <w:tr>
        <w:trPr>
          <w:trHeight w:val="184" w:hRule="atLeast"/>
        </w:trPr>
        <w:tc>
          <w:tcPr>
            <w:tcW w:w="53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0" w:after="120"/>
              <w:jc w:val="center"/>
              <w:rPr>
                <w:rFonts w:ascii="Times New Roman" w:hAnsi="Times New Roman"/>
                <w:sz w:val="22"/>
                <w:szCs w:val="22"/>
              </w:rPr>
            </w:pPr>
            <w:r>
              <w:rPr>
                <w:rFonts w:eastAsia="Century Gothic" w:cs="Century Gothic" w:ascii="Times New Roman" w:hAnsi="Times New Roman"/>
                <w:sz w:val="22"/>
                <w:szCs w:val="22"/>
              </w:rPr>
              <w:t>08</w:t>
            </w:r>
          </w:p>
        </w:tc>
        <w:tc>
          <w:tcPr>
            <w:tcW w:w="445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0" w:after="120"/>
              <w:jc w:val="both"/>
              <w:rPr>
                <w:rFonts w:ascii="Times New Roman" w:hAnsi="Times New Roman"/>
                <w:sz w:val="22"/>
                <w:szCs w:val="22"/>
              </w:rPr>
            </w:pPr>
            <w:r>
              <w:rPr>
                <w:rFonts w:eastAsia="Century Gothic" w:cs="Century Gothic" w:ascii="Times New Roman" w:hAnsi="Times New Roman"/>
                <w:sz w:val="22"/>
                <w:szCs w:val="22"/>
              </w:rPr>
              <w:t>Refrigerante Composto De Extrato De Cola Composto Água Gaseificada, Sacarina, Sendo Permitido Extratos Vegetais, Cafeína, Corante, Caramelo, Isento De Corantes Artificiais, Livre De Sujidades, Parasitas, Larvas, Acondicionado Em Pet Com Tampa De Rosca, Contendo 2 Litros Cada. 36% de carboidrato numa porção de 350ml.</w:t>
            </w:r>
          </w:p>
        </w:tc>
        <w:tc>
          <w:tcPr>
            <w:tcW w:w="95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0" w:after="120"/>
              <w:rPr>
                <w:rFonts w:ascii="Times New Roman" w:hAnsi="Times New Roman"/>
                <w:sz w:val="22"/>
                <w:szCs w:val="22"/>
              </w:rPr>
            </w:pPr>
            <w:r>
              <w:rPr>
                <w:rFonts w:eastAsia="Century Gothic" w:cs="Century Gothic" w:ascii="Times New Roman" w:hAnsi="Times New Roman"/>
                <w:color w:val="495057"/>
                <w:sz w:val="22"/>
                <w:szCs w:val="22"/>
                <w:highlight w:val="white"/>
              </w:rPr>
              <w:t>217784</w:t>
            </w:r>
          </w:p>
        </w:tc>
        <w:tc>
          <w:tcPr>
            <w:tcW w:w="141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0" w:after="120"/>
              <w:jc w:val="center"/>
              <w:rPr>
                <w:rFonts w:ascii="Times New Roman" w:hAnsi="Times New Roman"/>
                <w:sz w:val="22"/>
                <w:szCs w:val="22"/>
              </w:rPr>
            </w:pPr>
            <w:r>
              <w:rPr>
                <w:rFonts w:eastAsia="Century Gothic" w:cs="Century Gothic" w:ascii="Times New Roman" w:hAnsi="Times New Roman"/>
                <w:sz w:val="22"/>
                <w:szCs w:val="22"/>
              </w:rPr>
              <w:t>Garrafa 2 litros</w:t>
            </w:r>
          </w:p>
        </w:tc>
        <w:tc>
          <w:tcPr>
            <w:tcW w:w="99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0" w:after="120"/>
              <w:jc w:val="center"/>
              <w:rPr>
                <w:rFonts w:ascii="Times New Roman" w:hAnsi="Times New Roman"/>
                <w:sz w:val="22"/>
                <w:szCs w:val="22"/>
              </w:rPr>
            </w:pPr>
            <w:r>
              <w:rPr>
                <w:rFonts w:eastAsia="Century Gothic" w:cs="Century Gothic" w:ascii="Times New Roman" w:hAnsi="Times New Roman"/>
                <w:sz w:val="22"/>
                <w:szCs w:val="22"/>
              </w:rPr>
              <w:t>10</w:t>
            </w:r>
          </w:p>
        </w:tc>
        <w:tc>
          <w:tcPr>
            <w:tcW w:w="992"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0" w:after="120"/>
              <w:jc w:val="center"/>
              <w:rPr>
                <w:rFonts w:ascii="Times New Roman" w:hAnsi="Times New Roman"/>
                <w:sz w:val="22"/>
                <w:szCs w:val="22"/>
              </w:rPr>
            </w:pPr>
            <w:r>
              <w:rPr>
                <w:rFonts w:eastAsia="Century Gothic" w:cs="Century Gothic" w:ascii="Times New Roman" w:hAnsi="Times New Roman"/>
                <w:sz w:val="22"/>
                <w:szCs w:val="22"/>
              </w:rPr>
              <w:t>R$ 10,64</w:t>
            </w:r>
          </w:p>
        </w:tc>
        <w:tc>
          <w:tcPr>
            <w:tcW w:w="113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rFonts w:ascii="Times New Roman" w:hAnsi="Times New Roman"/>
                <w:sz w:val="22"/>
                <w:szCs w:val="22"/>
              </w:rPr>
            </w:pPr>
            <w:r>
              <w:rPr>
                <w:rFonts w:ascii="Times New Roman" w:hAnsi="Times New Roman"/>
                <w:color w:val="000000"/>
                <w:sz w:val="22"/>
                <w:szCs w:val="22"/>
              </w:rPr>
              <w:t>R$ 106,40</w:t>
            </w:r>
          </w:p>
        </w:tc>
      </w:tr>
      <w:tr>
        <w:trPr>
          <w:trHeight w:val="184" w:hRule="atLeast"/>
        </w:trPr>
        <w:tc>
          <w:tcPr>
            <w:tcW w:w="53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0" w:after="120"/>
              <w:jc w:val="center"/>
              <w:rPr>
                <w:rFonts w:ascii="Times New Roman" w:hAnsi="Times New Roman"/>
                <w:sz w:val="22"/>
                <w:szCs w:val="22"/>
              </w:rPr>
            </w:pPr>
            <w:r>
              <w:rPr>
                <w:rFonts w:eastAsia="Century Gothic" w:cs="Century Gothic" w:ascii="Times New Roman" w:hAnsi="Times New Roman"/>
                <w:sz w:val="22"/>
                <w:szCs w:val="22"/>
              </w:rPr>
              <w:t>09</w:t>
            </w:r>
          </w:p>
        </w:tc>
        <w:tc>
          <w:tcPr>
            <w:tcW w:w="445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0" w:after="120"/>
              <w:jc w:val="both"/>
              <w:rPr>
                <w:rFonts w:ascii="Times New Roman" w:hAnsi="Times New Roman"/>
                <w:sz w:val="22"/>
                <w:szCs w:val="22"/>
              </w:rPr>
            </w:pPr>
            <w:r>
              <w:rPr>
                <w:rFonts w:eastAsia="Century Gothic" w:cs="Century Gothic" w:ascii="Times New Roman" w:hAnsi="Times New Roman"/>
                <w:sz w:val="22"/>
                <w:szCs w:val="22"/>
              </w:rPr>
              <w:t>Refrigerante composto de extrato de cola, água gaseificada, cafeína, corante e caramelo, zero açúcar. Valor energético 0kcal; açucares 0g; Gorduras totais 0g; Gorduras saturadas 0g embalagem 2L</w:t>
            </w:r>
          </w:p>
        </w:tc>
        <w:tc>
          <w:tcPr>
            <w:tcW w:w="95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0" w:after="120"/>
              <w:rPr>
                <w:rFonts w:ascii="Times New Roman" w:hAnsi="Times New Roman"/>
                <w:sz w:val="22"/>
                <w:szCs w:val="22"/>
              </w:rPr>
            </w:pPr>
            <w:r>
              <w:rPr>
                <w:rFonts w:eastAsia="Century Gothic" w:cs="Century Gothic" w:ascii="Times New Roman" w:hAnsi="Times New Roman"/>
                <w:color w:val="495057"/>
                <w:sz w:val="22"/>
                <w:szCs w:val="22"/>
                <w:highlight w:val="white"/>
              </w:rPr>
              <w:t>347150</w:t>
            </w:r>
          </w:p>
        </w:tc>
        <w:tc>
          <w:tcPr>
            <w:tcW w:w="141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0" w:after="120"/>
              <w:jc w:val="center"/>
              <w:rPr>
                <w:rFonts w:ascii="Times New Roman" w:hAnsi="Times New Roman"/>
                <w:sz w:val="22"/>
                <w:szCs w:val="22"/>
              </w:rPr>
            </w:pPr>
            <w:r>
              <w:rPr>
                <w:rFonts w:eastAsia="Century Gothic" w:cs="Century Gothic" w:ascii="Times New Roman" w:hAnsi="Times New Roman"/>
                <w:sz w:val="22"/>
                <w:szCs w:val="22"/>
              </w:rPr>
              <w:t>Garrafa 2 litros</w:t>
            </w:r>
          </w:p>
        </w:tc>
        <w:tc>
          <w:tcPr>
            <w:tcW w:w="99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0" w:after="120"/>
              <w:jc w:val="center"/>
              <w:rPr>
                <w:rFonts w:ascii="Times New Roman" w:hAnsi="Times New Roman"/>
                <w:sz w:val="22"/>
                <w:szCs w:val="22"/>
              </w:rPr>
            </w:pPr>
            <w:r>
              <w:rPr>
                <w:rFonts w:eastAsia="Century Gothic" w:cs="Century Gothic" w:ascii="Times New Roman" w:hAnsi="Times New Roman"/>
                <w:sz w:val="22"/>
                <w:szCs w:val="22"/>
              </w:rPr>
              <w:t>10</w:t>
            </w:r>
          </w:p>
        </w:tc>
        <w:tc>
          <w:tcPr>
            <w:tcW w:w="992"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0" w:after="120"/>
              <w:jc w:val="center"/>
              <w:rPr>
                <w:rFonts w:ascii="Times New Roman" w:hAnsi="Times New Roman"/>
                <w:sz w:val="22"/>
                <w:szCs w:val="22"/>
              </w:rPr>
            </w:pPr>
            <w:r>
              <w:rPr>
                <w:rFonts w:eastAsia="Century Gothic" w:cs="Century Gothic" w:ascii="Times New Roman" w:hAnsi="Times New Roman"/>
                <w:sz w:val="22"/>
                <w:szCs w:val="22"/>
              </w:rPr>
              <w:t>R$ 10,53</w:t>
            </w:r>
          </w:p>
        </w:tc>
        <w:tc>
          <w:tcPr>
            <w:tcW w:w="113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rFonts w:ascii="Times New Roman" w:hAnsi="Times New Roman"/>
                <w:sz w:val="22"/>
                <w:szCs w:val="22"/>
              </w:rPr>
            </w:pPr>
            <w:r>
              <w:rPr>
                <w:rFonts w:ascii="Times New Roman" w:hAnsi="Times New Roman"/>
                <w:color w:val="000000"/>
                <w:sz w:val="22"/>
                <w:szCs w:val="22"/>
              </w:rPr>
              <w:t>R$ 105,30</w:t>
            </w:r>
          </w:p>
        </w:tc>
      </w:tr>
      <w:tr>
        <w:trPr>
          <w:trHeight w:val="184" w:hRule="atLeast"/>
        </w:trPr>
        <w:tc>
          <w:tcPr>
            <w:tcW w:w="53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0" w:after="120"/>
              <w:jc w:val="center"/>
              <w:rPr>
                <w:rFonts w:ascii="Times New Roman" w:hAnsi="Times New Roman"/>
                <w:sz w:val="22"/>
                <w:szCs w:val="22"/>
              </w:rPr>
            </w:pPr>
            <w:r>
              <w:rPr>
                <w:rFonts w:eastAsia="Century Gothic" w:cs="Century Gothic" w:ascii="Times New Roman" w:hAnsi="Times New Roman"/>
                <w:sz w:val="22"/>
                <w:szCs w:val="22"/>
              </w:rPr>
              <w:t>10</w:t>
            </w:r>
          </w:p>
        </w:tc>
        <w:tc>
          <w:tcPr>
            <w:tcW w:w="445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0" w:after="120"/>
              <w:jc w:val="both"/>
              <w:rPr>
                <w:rFonts w:ascii="Times New Roman" w:hAnsi="Times New Roman"/>
                <w:sz w:val="22"/>
                <w:szCs w:val="22"/>
              </w:rPr>
            </w:pPr>
            <w:r>
              <w:rPr>
                <w:rFonts w:eastAsia="Century Gothic" w:cs="Century Gothic" w:ascii="Times New Roman" w:hAnsi="Times New Roman"/>
                <w:sz w:val="22"/>
                <w:szCs w:val="22"/>
              </w:rPr>
              <w:t>Refrigerante A Base De Extrato De Guaraná Composto De Extrato De Guaraná, Água Gaseificada, Açúcar, Sendo Permitido 0,02 G A 0,2 G De Extrato De Semente De Guaraná, Isento De Corantes Artificiais, Livre De Sujidades, Parasitas E Larvas, Acondicionado Em Garrafas “Pet” Com Tampa De Rosca, Contendo 2 Litros Cada. 36% de carboidrato numa porção de 350ml. (</w:t>
            </w:r>
          </w:p>
        </w:tc>
        <w:tc>
          <w:tcPr>
            <w:tcW w:w="95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0" w:after="120"/>
              <w:rPr>
                <w:rFonts w:ascii="Times New Roman" w:hAnsi="Times New Roman"/>
                <w:sz w:val="22"/>
                <w:szCs w:val="22"/>
              </w:rPr>
            </w:pPr>
            <w:r>
              <w:rPr>
                <w:rFonts w:eastAsia="Century Gothic" w:cs="Century Gothic" w:ascii="Times New Roman" w:hAnsi="Times New Roman"/>
                <w:color w:val="495057"/>
                <w:sz w:val="22"/>
                <w:szCs w:val="22"/>
                <w:highlight w:val="white"/>
              </w:rPr>
              <w:t>217785</w:t>
            </w:r>
          </w:p>
        </w:tc>
        <w:tc>
          <w:tcPr>
            <w:tcW w:w="141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0" w:after="120"/>
              <w:jc w:val="center"/>
              <w:rPr>
                <w:rFonts w:ascii="Times New Roman" w:hAnsi="Times New Roman"/>
                <w:sz w:val="22"/>
                <w:szCs w:val="22"/>
              </w:rPr>
            </w:pPr>
            <w:r>
              <w:rPr>
                <w:rFonts w:eastAsia="Century Gothic" w:cs="Century Gothic" w:ascii="Times New Roman" w:hAnsi="Times New Roman"/>
                <w:sz w:val="22"/>
                <w:szCs w:val="22"/>
              </w:rPr>
              <w:t>Garrafa 2 litros</w:t>
            </w:r>
          </w:p>
        </w:tc>
        <w:tc>
          <w:tcPr>
            <w:tcW w:w="99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0" w:after="120"/>
              <w:jc w:val="center"/>
              <w:rPr>
                <w:rFonts w:ascii="Times New Roman" w:hAnsi="Times New Roman"/>
                <w:sz w:val="22"/>
                <w:szCs w:val="22"/>
              </w:rPr>
            </w:pPr>
            <w:r>
              <w:rPr>
                <w:rFonts w:eastAsia="Century Gothic" w:cs="Century Gothic" w:ascii="Times New Roman" w:hAnsi="Times New Roman"/>
                <w:sz w:val="22"/>
                <w:szCs w:val="22"/>
              </w:rPr>
              <w:t>10</w:t>
            </w:r>
          </w:p>
        </w:tc>
        <w:tc>
          <w:tcPr>
            <w:tcW w:w="992"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0" w:after="120"/>
              <w:jc w:val="center"/>
              <w:rPr>
                <w:rFonts w:ascii="Times New Roman" w:hAnsi="Times New Roman"/>
                <w:sz w:val="22"/>
                <w:szCs w:val="22"/>
              </w:rPr>
            </w:pPr>
            <w:r>
              <w:rPr>
                <w:rFonts w:eastAsia="Century Gothic" w:cs="Century Gothic" w:ascii="Times New Roman" w:hAnsi="Times New Roman"/>
                <w:sz w:val="22"/>
                <w:szCs w:val="22"/>
              </w:rPr>
              <w:t>R$ 8,05</w:t>
            </w:r>
          </w:p>
        </w:tc>
        <w:tc>
          <w:tcPr>
            <w:tcW w:w="113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rFonts w:ascii="Times New Roman" w:hAnsi="Times New Roman"/>
                <w:sz w:val="22"/>
                <w:szCs w:val="22"/>
              </w:rPr>
            </w:pPr>
            <w:r>
              <w:rPr>
                <w:rFonts w:ascii="Times New Roman" w:hAnsi="Times New Roman"/>
                <w:color w:val="000000"/>
                <w:sz w:val="22"/>
                <w:szCs w:val="22"/>
              </w:rPr>
              <w:t>R$ 80,50</w:t>
            </w:r>
          </w:p>
        </w:tc>
      </w:tr>
      <w:tr>
        <w:trPr>
          <w:trHeight w:val="184" w:hRule="atLeast"/>
        </w:trPr>
        <w:tc>
          <w:tcPr>
            <w:tcW w:w="53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0" w:after="120"/>
              <w:jc w:val="center"/>
              <w:rPr>
                <w:rFonts w:ascii="Times New Roman" w:hAnsi="Times New Roman"/>
                <w:sz w:val="22"/>
                <w:szCs w:val="22"/>
              </w:rPr>
            </w:pPr>
            <w:r>
              <w:rPr>
                <w:rFonts w:eastAsia="Century Gothic" w:cs="Century Gothic" w:ascii="Times New Roman" w:hAnsi="Times New Roman"/>
                <w:sz w:val="22"/>
                <w:szCs w:val="22"/>
              </w:rPr>
              <w:t>11</w:t>
            </w:r>
          </w:p>
        </w:tc>
        <w:tc>
          <w:tcPr>
            <w:tcW w:w="445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0" w:after="120"/>
              <w:jc w:val="both"/>
              <w:rPr>
                <w:rFonts w:ascii="Times New Roman" w:hAnsi="Times New Roman"/>
                <w:sz w:val="22"/>
                <w:szCs w:val="22"/>
              </w:rPr>
            </w:pPr>
            <w:r>
              <w:rPr>
                <w:rFonts w:eastAsia="Century Gothic" w:cs="Century Gothic" w:ascii="Times New Roman" w:hAnsi="Times New Roman"/>
                <w:sz w:val="22"/>
                <w:szCs w:val="22"/>
              </w:rPr>
              <w:t xml:space="preserve">Salgados Diversos, Em Tamanho Pequeno (Mínimo 20g Cada). ASSADOS. Tipo: empadinhas, enroladinhos de salsinha, enroladinhos de presunto e queijo, </w:t>
            </w:r>
            <w:sdt>
              <w:sdtPr>
                <w:id w:val="2016096536"/>
              </w:sdtPr>
              <w:sdtContent>
                <w:r>
                  <w:rPr>
                    <w:rFonts w:eastAsia="Century Gothic" w:cs="Century Gothic" w:ascii="Times New Roman" w:hAnsi="Times New Roman"/>
                    <w:sz w:val="22"/>
                    <w:szCs w:val="22"/>
                  </w:rPr>
                  <w:t>pastéis</w:t>
                </w:r>
                <w:sdt>
                  <w:sdtPr>
                    <w:showingPlcHdr/>
                  </w:sdtPr>
                  <w:sdtContent>
                    <w:r>
                      <w:rPr>
                        <w:rFonts w:eastAsia="Century Gothic" w:cs="Century Gothic" w:ascii="Times New Roman" w:hAnsi="Times New Roman"/>
                        <w:sz w:val="22"/>
                        <w:szCs w:val="22"/>
                      </w:rPr>
                    </w:r>
                    <w:r>
                      <w:rPr>
                        <w:rFonts w:eastAsia="Century Gothic" w:cs="Century Gothic" w:ascii="Times New Roman" w:hAnsi="Times New Roman"/>
                        <w:sz w:val="22"/>
                        <w:szCs w:val="22"/>
                      </w:rPr>
                    </w:r>
                    <w:sdt>
                      <w:sdtPr/>
                      <w:sdtContent>
                        <w:r>
                          <w:rPr>
                            <w:rFonts w:eastAsia="Century Gothic" w:cs="Century Gothic" w:ascii="Times New Roman" w:hAnsi="Times New Roman"/>
                            <w:sz w:val="22"/>
                            <w:szCs w:val="22"/>
                          </w:rPr>
                        </w:r>
                      </w:sdtContent>
                    </w:sdt>
                    <w:r>
                      <w:rPr>
                        <w:rFonts w:eastAsia="Century Gothic" w:cs="Century Gothic" w:ascii="Times New Roman" w:hAnsi="Times New Roman"/>
                        <w:sz w:val="22"/>
                        <w:szCs w:val="22"/>
                      </w:rPr>
                    </w:r>
                  </w:sdtContent>
                </w:sdt>
              </w:sdtContent>
            </w:sdt>
            <w:r>
              <w:rPr>
                <w:rFonts w:ascii="Times New Roman" w:hAnsi="Times New Roman"/>
                <w:sz w:val="22"/>
                <w:szCs w:val="22"/>
              </w:rPr>
              <w:t xml:space="preserve">     </w:t>
            </w:r>
            <w:r>
              <w:rPr>
                <w:rFonts w:eastAsia="Century Gothic" w:cs="Century Gothic" w:ascii="Times New Roman" w:hAnsi="Times New Roman"/>
                <w:sz w:val="22"/>
                <w:szCs w:val="22"/>
              </w:rPr>
              <w:t xml:space="preserve"> assados, mini pizza, </w:t>
            </w:r>
            <w:sdt>
              <w:sdtPr>
                <w:id w:val="1158865893"/>
              </w:sdtPr>
              <w:sdtContent>
                <w:r>
                  <w:rPr>
                    <w:rFonts w:eastAsia="Century Gothic" w:cs="Century Gothic" w:ascii="Times New Roman" w:hAnsi="Times New Roman"/>
                    <w:sz w:val="22"/>
                    <w:szCs w:val="22"/>
                  </w:rPr>
                  <w:t>esfiha</w:t>
                </w:r>
                <w:r>
                  <w:rPr>
                    <w:rFonts w:eastAsia="Century Gothic" w:cs="Century Gothic" w:ascii="Times New Roman" w:hAnsi="Times New Roman"/>
                    <w:sz w:val="22"/>
                    <w:szCs w:val="22"/>
                  </w:rPr>
                  <w:t>,</w:t>
                </w:r>
                <w:sdt>
                  <w:sdtPr>
                    <w:showingPlcHdr/>
                  </w:sdtPr>
                  <w:sdtContent>
                    <w:r>
                      <w:rPr>
                        <w:rFonts w:eastAsia="Century Gothic" w:cs="Century Gothic" w:ascii="Times New Roman" w:hAnsi="Times New Roman"/>
                        <w:sz w:val="22"/>
                        <w:szCs w:val="22"/>
                      </w:rPr>
                    </w:r>
                    <w:r>
                      <w:rPr>
                        <w:rFonts w:eastAsia="Century Gothic" w:cs="Century Gothic" w:ascii="Times New Roman" w:hAnsi="Times New Roman"/>
                        <w:sz w:val="22"/>
                        <w:szCs w:val="22"/>
                      </w:rPr>
                    </w:r>
                    <w:sdt>
                      <w:sdtPr/>
                      <w:sdtContent>
                        <w:r>
                          <w:rPr>
                            <w:rFonts w:eastAsia="Century Gothic" w:cs="Century Gothic" w:ascii="Times New Roman" w:hAnsi="Times New Roman"/>
                            <w:sz w:val="22"/>
                            <w:szCs w:val="22"/>
                          </w:rPr>
                        </w:r>
                      </w:sdtContent>
                    </w:sdt>
                    <w:r>
                      <w:rPr>
                        <w:rFonts w:eastAsia="Century Gothic" w:cs="Century Gothic" w:ascii="Times New Roman" w:hAnsi="Times New Roman"/>
                        <w:sz w:val="22"/>
                        <w:szCs w:val="22"/>
                      </w:rPr>
                    </w:r>
                  </w:sdtContent>
                </w:sdt>
              </w:sdtContent>
            </w:sdt>
            <w:r>
              <w:rPr>
                <w:rFonts w:ascii="Times New Roman" w:hAnsi="Times New Roman"/>
                <w:sz w:val="22"/>
                <w:szCs w:val="22"/>
              </w:rPr>
              <w:t xml:space="preserve">   </w:t>
            </w:r>
            <w:r>
              <w:rPr>
                <w:rFonts w:ascii="Times New Roman" w:hAnsi="Times New Roman"/>
                <w:sz w:val="22"/>
                <w:szCs w:val="22"/>
              </w:rPr>
              <w:t xml:space="preserve">  </w:t>
            </w:r>
            <w:r>
              <w:rPr>
                <w:rFonts w:eastAsia="Century Gothic" w:cs="Century Gothic" w:ascii="Times New Roman" w:hAnsi="Times New Roman"/>
                <w:sz w:val="22"/>
                <w:szCs w:val="22"/>
              </w:rPr>
              <w:t xml:space="preserve"> entre outros, prontos para consumo (quente e em embalagem própria)</w:t>
            </w:r>
          </w:p>
        </w:tc>
        <w:tc>
          <w:tcPr>
            <w:tcW w:w="95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0" w:after="120"/>
              <w:rPr>
                <w:rFonts w:ascii="Times New Roman" w:hAnsi="Times New Roman"/>
                <w:sz w:val="22"/>
                <w:szCs w:val="22"/>
              </w:rPr>
            </w:pPr>
            <w:r>
              <w:rPr>
                <w:rFonts w:eastAsia="Century Gothic" w:cs="Century Gothic" w:ascii="Times New Roman" w:hAnsi="Times New Roman"/>
                <w:sz w:val="22"/>
                <w:szCs w:val="22"/>
              </w:rPr>
              <w:br/>
              <w:t>461971</w:t>
            </w:r>
          </w:p>
        </w:tc>
        <w:tc>
          <w:tcPr>
            <w:tcW w:w="141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0" w:after="120"/>
              <w:jc w:val="center"/>
              <w:rPr>
                <w:rFonts w:ascii="Times New Roman" w:hAnsi="Times New Roman"/>
                <w:sz w:val="22"/>
                <w:szCs w:val="22"/>
              </w:rPr>
            </w:pPr>
            <w:r>
              <w:rPr>
                <w:rFonts w:eastAsia="Century Gothic" w:cs="Century Gothic" w:ascii="Times New Roman" w:hAnsi="Times New Roman"/>
                <w:sz w:val="22"/>
                <w:szCs w:val="22"/>
              </w:rPr>
              <w:t>Centena</w:t>
            </w:r>
          </w:p>
        </w:tc>
        <w:tc>
          <w:tcPr>
            <w:tcW w:w="99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0" w:after="120"/>
              <w:jc w:val="center"/>
              <w:rPr>
                <w:rFonts w:ascii="Times New Roman" w:hAnsi="Times New Roman"/>
                <w:sz w:val="22"/>
                <w:szCs w:val="22"/>
              </w:rPr>
            </w:pPr>
            <w:r>
              <w:rPr>
                <w:rFonts w:eastAsia="Century Gothic" w:cs="Century Gothic" w:ascii="Times New Roman" w:hAnsi="Times New Roman"/>
                <w:sz w:val="22"/>
                <w:szCs w:val="22"/>
              </w:rPr>
              <w:t>04</w:t>
            </w:r>
          </w:p>
        </w:tc>
        <w:tc>
          <w:tcPr>
            <w:tcW w:w="992"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0" w:after="120"/>
              <w:jc w:val="center"/>
              <w:rPr>
                <w:rFonts w:ascii="Times New Roman" w:hAnsi="Times New Roman"/>
                <w:sz w:val="22"/>
                <w:szCs w:val="22"/>
              </w:rPr>
            </w:pPr>
            <w:r>
              <w:rPr>
                <w:rFonts w:eastAsia="Century Gothic" w:cs="Century Gothic" w:ascii="Times New Roman" w:hAnsi="Times New Roman"/>
                <w:sz w:val="22"/>
                <w:szCs w:val="22"/>
              </w:rPr>
              <w:t>R$ 77,28</w:t>
            </w:r>
          </w:p>
        </w:tc>
        <w:tc>
          <w:tcPr>
            <w:tcW w:w="113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rFonts w:ascii="Times New Roman" w:hAnsi="Times New Roman"/>
                <w:sz w:val="22"/>
                <w:szCs w:val="22"/>
              </w:rPr>
            </w:pPr>
            <w:r>
              <w:rPr>
                <w:rFonts w:ascii="Times New Roman" w:hAnsi="Times New Roman"/>
                <w:color w:val="000000"/>
                <w:sz w:val="22"/>
                <w:szCs w:val="22"/>
              </w:rPr>
              <w:t>R$ 309,12</w:t>
            </w:r>
          </w:p>
        </w:tc>
      </w:tr>
      <w:tr>
        <w:trPr>
          <w:trHeight w:val="184" w:hRule="atLeast"/>
        </w:trPr>
        <w:tc>
          <w:tcPr>
            <w:tcW w:w="53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0" w:after="120"/>
              <w:jc w:val="center"/>
              <w:rPr>
                <w:rFonts w:ascii="Times New Roman" w:hAnsi="Times New Roman"/>
                <w:sz w:val="22"/>
                <w:szCs w:val="22"/>
              </w:rPr>
            </w:pPr>
            <w:r>
              <w:rPr>
                <w:rFonts w:eastAsia="Century Gothic" w:cs="Century Gothic" w:ascii="Times New Roman" w:hAnsi="Times New Roman"/>
                <w:sz w:val="22"/>
                <w:szCs w:val="22"/>
              </w:rPr>
              <w:t>12</w:t>
            </w:r>
          </w:p>
        </w:tc>
        <w:tc>
          <w:tcPr>
            <w:tcW w:w="445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0" w:after="120"/>
              <w:jc w:val="both"/>
              <w:rPr>
                <w:rFonts w:ascii="Times New Roman" w:hAnsi="Times New Roman"/>
                <w:sz w:val="22"/>
                <w:szCs w:val="22"/>
              </w:rPr>
            </w:pPr>
            <w:r>
              <w:rPr>
                <w:rFonts w:eastAsia="Century Gothic" w:cs="Century Gothic" w:ascii="Times New Roman" w:hAnsi="Times New Roman"/>
                <w:sz w:val="22"/>
                <w:szCs w:val="22"/>
              </w:rPr>
              <w:t>Salgados Diversos, Em Tamanho Pequeno (Mínimo 20g Cada). FRITOS. Tipo: coxinhas, enroladinhos de salsicha, enroladinhos de presunto e queijo, pastéis,</w:t>
            </w:r>
            <w:sdt>
              <w:sdtPr>
                <w:showingPlcHdr/>
              </w:sdtPr>
              <w:sdtContent>
                <w:r>
                  <w:rPr>
                    <w:rFonts w:eastAsia="Century Gothic" w:cs="Century Gothic" w:ascii="Times New Roman" w:hAnsi="Times New Roman"/>
                    <w:sz w:val="22"/>
                    <w:szCs w:val="22"/>
                  </w:rPr>
                </w:r>
                <w:sdt>
                  <w:sdtPr>
                    <w:id w:val="965464093"/>
                  </w:sdtPr>
                  <w:sdtContent>
                    <w:r>
                      <w:rPr>
                        <w:rFonts w:ascii="Times New Roman" w:hAnsi="Times New Roman"/>
                        <w:sz w:val="22"/>
                        <w:szCs w:val="22"/>
                      </w:rPr>
                      <w:t xml:space="preserve">   </w:t>
                    </w:r>
                    <w:r>
                      <w:rPr>
                        <w:rFonts w:ascii="Times New Roman" w:hAnsi="Times New Roman"/>
                        <w:sz w:val="22"/>
                        <w:szCs w:val="22"/>
                      </w:rPr>
                      <w:t xml:space="preserve">  </w:t>
                    </w:r>
                  </w:sdtContent>
                </w:sdt>
              </w:sdtContent>
            </w:sdt>
            <w:r>
              <w:rPr>
                <w:rFonts w:eastAsia="Century Gothic" w:cs="Century Gothic" w:ascii="Times New Roman" w:hAnsi="Times New Roman"/>
                <w:sz w:val="22"/>
                <w:szCs w:val="22"/>
              </w:rPr>
              <w:t xml:space="preserve"> quibes entre outros. Prontos para consumo (quente e em embalagem própria)</w:t>
            </w:r>
          </w:p>
        </w:tc>
        <w:tc>
          <w:tcPr>
            <w:tcW w:w="957" w:type="dxa"/>
            <w:tcBorders>
              <w:top w:val="single" w:sz="4" w:space="0" w:color="000000"/>
              <w:left w:val="single" w:sz="4" w:space="0" w:color="000000"/>
              <w:bottom w:val="single" w:sz="4" w:space="0" w:color="000000"/>
              <w:right w:val="single" w:sz="4" w:space="0" w:color="000000"/>
            </w:tcBorders>
          </w:tcPr>
          <w:p>
            <w:pPr>
              <w:pStyle w:val="Normal"/>
              <w:widowControl w:val="false"/>
              <w:rPr>
                <w:rFonts w:ascii="Times New Roman" w:hAnsi="Times New Roman"/>
                <w:sz w:val="22"/>
                <w:szCs w:val="22"/>
              </w:rPr>
            </w:pPr>
            <w:r>
              <w:rPr>
                <w:rFonts w:eastAsia="Century Gothic" w:cs="Century Gothic" w:ascii="Times New Roman" w:hAnsi="Times New Roman"/>
                <w:sz w:val="22"/>
                <w:szCs w:val="22"/>
              </w:rPr>
              <w:br/>
              <w:t>461970</w:t>
            </w:r>
          </w:p>
          <w:p>
            <w:pPr>
              <w:pStyle w:val="Normal"/>
              <w:widowControl w:val="false"/>
              <w:spacing w:lineRule="auto" w:line="276" w:before="0" w:after="120"/>
              <w:rPr>
                <w:rFonts w:ascii="Times New Roman" w:hAnsi="Times New Roman" w:eastAsia="Century Gothic" w:cs="Century Gothic"/>
                <w:sz w:val="22"/>
                <w:szCs w:val="22"/>
                <w:highlight w:val="white"/>
              </w:rPr>
            </w:pPr>
            <w:r>
              <w:rPr>
                <w:rFonts w:eastAsia="Century Gothic" w:cs="Century Gothic" w:ascii="Times New Roman" w:hAnsi="Times New Roman"/>
                <w:sz w:val="22"/>
                <w:szCs w:val="22"/>
                <w:highlight w:val="white"/>
              </w:rPr>
            </w:r>
          </w:p>
        </w:tc>
        <w:tc>
          <w:tcPr>
            <w:tcW w:w="141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0" w:after="120"/>
              <w:jc w:val="center"/>
              <w:rPr>
                <w:rFonts w:ascii="Times New Roman" w:hAnsi="Times New Roman"/>
                <w:sz w:val="22"/>
                <w:szCs w:val="22"/>
              </w:rPr>
            </w:pPr>
            <w:r>
              <w:rPr>
                <w:rFonts w:eastAsia="Century Gothic" w:cs="Century Gothic" w:ascii="Times New Roman" w:hAnsi="Times New Roman"/>
                <w:sz w:val="22"/>
                <w:szCs w:val="22"/>
              </w:rPr>
              <w:t>Centena</w:t>
            </w:r>
          </w:p>
        </w:tc>
        <w:tc>
          <w:tcPr>
            <w:tcW w:w="99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0" w:after="120"/>
              <w:jc w:val="center"/>
              <w:rPr>
                <w:rFonts w:ascii="Times New Roman" w:hAnsi="Times New Roman"/>
                <w:sz w:val="22"/>
                <w:szCs w:val="22"/>
              </w:rPr>
            </w:pPr>
            <w:r>
              <w:rPr>
                <w:rFonts w:eastAsia="Century Gothic" w:cs="Century Gothic" w:ascii="Times New Roman" w:hAnsi="Times New Roman"/>
                <w:sz w:val="22"/>
                <w:szCs w:val="22"/>
              </w:rPr>
              <w:t>04</w:t>
            </w:r>
          </w:p>
        </w:tc>
        <w:tc>
          <w:tcPr>
            <w:tcW w:w="992"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0" w:after="120"/>
              <w:jc w:val="center"/>
              <w:rPr>
                <w:rFonts w:ascii="Times New Roman" w:hAnsi="Times New Roman"/>
                <w:sz w:val="22"/>
                <w:szCs w:val="22"/>
              </w:rPr>
            </w:pPr>
            <w:r>
              <w:rPr>
                <w:rFonts w:eastAsia="Century Gothic" w:cs="Century Gothic" w:ascii="Times New Roman" w:hAnsi="Times New Roman"/>
                <w:sz w:val="22"/>
                <w:szCs w:val="22"/>
              </w:rPr>
              <w:t>R$ 74,83</w:t>
            </w:r>
          </w:p>
        </w:tc>
        <w:tc>
          <w:tcPr>
            <w:tcW w:w="113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rFonts w:ascii="Times New Roman" w:hAnsi="Times New Roman"/>
                <w:sz w:val="22"/>
                <w:szCs w:val="22"/>
              </w:rPr>
            </w:pPr>
            <w:r>
              <w:rPr>
                <w:rFonts w:ascii="Times New Roman" w:hAnsi="Times New Roman"/>
                <w:color w:val="000000"/>
                <w:sz w:val="22"/>
                <w:szCs w:val="22"/>
              </w:rPr>
              <w:t>R$ 299,32</w:t>
            </w:r>
          </w:p>
        </w:tc>
      </w:tr>
      <w:tr>
        <w:trPr>
          <w:trHeight w:val="175" w:hRule="atLeast"/>
        </w:trPr>
        <w:tc>
          <w:tcPr>
            <w:tcW w:w="9350" w:type="dxa"/>
            <w:gridSpan w:val="6"/>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0" w:after="120"/>
              <w:jc w:val="right"/>
              <w:rPr>
                <w:rFonts w:ascii="Times New Roman" w:hAnsi="Times New Roman"/>
                <w:sz w:val="22"/>
                <w:szCs w:val="22"/>
              </w:rPr>
            </w:pPr>
            <w:r>
              <w:rPr>
                <w:rFonts w:eastAsia="Century Gothic" w:cs="Century Gothic" w:ascii="Times New Roman" w:hAnsi="Times New Roman"/>
                <w:b/>
                <w:sz w:val="22"/>
                <w:szCs w:val="22"/>
              </w:rPr>
              <w:t>Valor total do processo</w:t>
            </w:r>
          </w:p>
        </w:tc>
        <w:tc>
          <w:tcPr>
            <w:tcW w:w="113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before="0" w:after="120"/>
              <w:jc w:val="center"/>
              <w:rPr>
                <w:rFonts w:ascii="Times New Roman" w:hAnsi="Times New Roman"/>
                <w:sz w:val="22"/>
                <w:szCs w:val="22"/>
              </w:rPr>
            </w:pPr>
            <w:bookmarkStart w:id="0" w:name="_GoBack"/>
            <w:r>
              <w:rPr>
                <w:rFonts w:eastAsia="Century Gothic" w:cs="Century Gothic" w:ascii="Times New Roman" w:hAnsi="Times New Roman"/>
                <w:b/>
                <w:sz w:val="22"/>
                <w:szCs w:val="22"/>
              </w:rPr>
              <w:t>R$27.051,34</w:t>
            </w:r>
            <w:bookmarkEnd w:id="0"/>
          </w:p>
        </w:tc>
      </w:tr>
    </w:tbl>
    <w:p>
      <w:pPr>
        <w:pStyle w:val="Normal"/>
        <w:numPr>
          <w:ilvl w:val="1"/>
          <w:numId w:val="4"/>
        </w:numPr>
        <w:spacing w:lineRule="auto" w:line="276" w:before="120" w:after="120"/>
        <w:jc w:val="both"/>
        <w:rPr>
          <w:rFonts w:ascii="Times New Roman" w:hAnsi="Times New Roman"/>
          <w:sz w:val="22"/>
          <w:szCs w:val="22"/>
        </w:rPr>
      </w:pPr>
      <w:r>
        <w:rPr>
          <w:rFonts w:eastAsia="Century Gothic" w:cs="Century Gothic" w:ascii="Times New Roman" w:hAnsi="Times New Roman"/>
          <w:color w:val="000000"/>
          <w:sz w:val="22"/>
          <w:szCs w:val="22"/>
        </w:rPr>
        <w:t>Os preços constantes na presente requisição se tratam de produtos do PREÇO MÉDIO APURADO POR ITEM, pesquisados no painel de preços do governo, conforme expresso no Anexo I do presente documento.</w:t>
      </w:r>
    </w:p>
    <w:p>
      <w:pPr>
        <w:pStyle w:val="Normal"/>
        <w:keepNext w:val="true"/>
        <w:keepLines/>
        <w:numPr>
          <w:ilvl w:val="0"/>
          <w:numId w:val="4"/>
        </w:numPr>
        <w:spacing w:lineRule="auto" w:line="276" w:before="480" w:after="120"/>
        <w:jc w:val="both"/>
        <w:rPr>
          <w:rFonts w:ascii="Times New Roman" w:hAnsi="Times New Roman"/>
          <w:sz w:val="22"/>
          <w:szCs w:val="22"/>
        </w:rPr>
      </w:pPr>
      <w:r>
        <w:rPr>
          <w:rFonts w:eastAsia="Century Gothic" w:cs="Century Gothic" w:ascii="Times New Roman" w:hAnsi="Times New Roman"/>
          <w:b/>
          <w:color w:val="000000"/>
          <w:sz w:val="22"/>
          <w:szCs w:val="22"/>
        </w:rPr>
        <w:t>JUSTIFICATIVA E OBJETIVO DA CONTRATAÇÃO</w:t>
      </w:r>
    </w:p>
    <w:p>
      <w:pPr>
        <w:pStyle w:val="Normal"/>
        <w:numPr>
          <w:ilvl w:val="1"/>
          <w:numId w:val="4"/>
        </w:numPr>
        <w:shd w:val="clear" w:color="auto" w:fill="FFFFFF"/>
        <w:jc w:val="both"/>
        <w:rPr>
          <w:rFonts w:ascii="Times New Roman" w:hAnsi="Times New Roman"/>
          <w:sz w:val="22"/>
          <w:szCs w:val="22"/>
        </w:rPr>
      </w:pPr>
      <w:r>
        <w:rPr>
          <w:rFonts w:eastAsia="Century Gothic" w:cs="Century Gothic" w:ascii="Times New Roman" w:hAnsi="Times New Roman"/>
          <w:color w:val="000000"/>
          <w:sz w:val="22"/>
          <w:szCs w:val="22"/>
        </w:rPr>
        <w:t>Aquisição de gêneros alimentícios para fornecimento de café da manhã e da tarde para os colaboradores e motoristas do CISMIV. Sendo assim, a aquisição torna-se essencial.</w:t>
      </w:r>
    </w:p>
    <w:p>
      <w:pPr>
        <w:pStyle w:val="Normal"/>
        <w:shd w:val="clear" w:color="auto" w:fill="FFFFFF"/>
        <w:ind w:left="284" w:hanging="0"/>
        <w:jc w:val="both"/>
        <w:rPr>
          <w:rFonts w:ascii="Times New Roman" w:hAnsi="Times New Roman" w:eastAsia="Century Gothic" w:cs="Century Gothic"/>
          <w:color w:val="000000"/>
          <w:sz w:val="22"/>
          <w:szCs w:val="22"/>
        </w:rPr>
      </w:pPr>
      <w:r>
        <w:rPr>
          <w:rFonts w:eastAsia="Century Gothic" w:cs="Century Gothic" w:ascii="Times New Roman" w:hAnsi="Times New Roman"/>
          <w:color w:val="000000"/>
          <w:sz w:val="22"/>
          <w:szCs w:val="22"/>
        </w:rPr>
      </w:r>
    </w:p>
    <w:p>
      <w:pPr>
        <w:pStyle w:val="Normal"/>
        <w:numPr>
          <w:ilvl w:val="1"/>
          <w:numId w:val="4"/>
        </w:numPr>
        <w:shd w:val="clear" w:color="auto" w:fill="FFFFFF"/>
        <w:jc w:val="both"/>
        <w:rPr>
          <w:rFonts w:ascii="Times New Roman" w:hAnsi="Times New Roman"/>
          <w:sz w:val="22"/>
          <w:szCs w:val="22"/>
        </w:rPr>
      </w:pPr>
      <w:r>
        <w:rPr>
          <w:rFonts w:eastAsia="Century Gothic" w:cs="Century Gothic" w:ascii="Times New Roman" w:hAnsi="Times New Roman"/>
          <w:color w:val="000000"/>
          <w:sz w:val="22"/>
          <w:szCs w:val="22"/>
        </w:rPr>
        <w:t xml:space="preserve">Justifica-se a aquisição dos itens pelo fato de o CISMIV ser composto por 10 municípios consorciados, sendo que alguns ficam localizados a mais de 50 quilômetros de distância da sede. Todos os municípios da microrregião dão duas viagens por dia. Sendo assim o fornecimento de café da manhã e tarde torna-se essencial para manter a rotina de viagens dos motoristas, agentes de viagem e funcionários. </w:t>
      </w:r>
    </w:p>
    <w:p>
      <w:pPr>
        <w:pStyle w:val="Normal"/>
        <w:ind w:left="720" w:hanging="0"/>
        <w:rPr>
          <w:rFonts w:ascii="Times New Roman" w:hAnsi="Times New Roman" w:eastAsia="Century Gothic" w:cs="Century Gothic"/>
          <w:color w:val="000000"/>
          <w:sz w:val="22"/>
          <w:szCs w:val="22"/>
        </w:rPr>
      </w:pPr>
      <w:r>
        <w:rPr>
          <w:rFonts w:eastAsia="Century Gothic" w:cs="Century Gothic" w:ascii="Times New Roman" w:hAnsi="Times New Roman"/>
          <w:color w:val="000000"/>
          <w:sz w:val="22"/>
          <w:szCs w:val="22"/>
        </w:rPr>
      </w:r>
    </w:p>
    <w:p>
      <w:pPr>
        <w:pStyle w:val="Normal"/>
        <w:numPr>
          <w:ilvl w:val="1"/>
          <w:numId w:val="4"/>
        </w:numPr>
        <w:shd w:val="clear" w:color="auto" w:fill="FFFFFF"/>
        <w:jc w:val="both"/>
        <w:rPr>
          <w:rFonts w:ascii="Times New Roman" w:hAnsi="Times New Roman"/>
          <w:sz w:val="22"/>
          <w:szCs w:val="22"/>
        </w:rPr>
      </w:pPr>
      <w:r>
        <w:rPr>
          <w:rFonts w:eastAsia="Century Gothic" w:cs="Century Gothic" w:ascii="Times New Roman" w:hAnsi="Times New Roman"/>
          <w:color w:val="000000"/>
          <w:sz w:val="22"/>
          <w:szCs w:val="22"/>
        </w:rPr>
        <w:t>Outros itens como refrigerante e salgados são para fornecer coffee break para as assembleias e reuniões ordinárias e extraordinárias do CISMIV.</w:t>
      </w:r>
    </w:p>
    <w:p>
      <w:pPr>
        <w:pStyle w:val="Normal"/>
        <w:shd w:val="clear" w:color="auto" w:fill="FFFFFF"/>
        <w:ind w:left="716" w:hanging="0"/>
        <w:jc w:val="both"/>
        <w:rPr>
          <w:rFonts w:ascii="Times New Roman" w:hAnsi="Times New Roman" w:eastAsia="Century Gothic" w:cs="Century Gothic"/>
          <w:color w:val="000000"/>
          <w:sz w:val="22"/>
          <w:szCs w:val="22"/>
        </w:rPr>
      </w:pPr>
      <w:r>
        <w:rPr>
          <w:rFonts w:eastAsia="Century Gothic" w:cs="Century Gothic" w:ascii="Times New Roman" w:hAnsi="Times New Roman"/>
          <w:color w:val="000000"/>
          <w:sz w:val="22"/>
          <w:szCs w:val="22"/>
        </w:rPr>
      </w:r>
    </w:p>
    <w:p>
      <w:pPr>
        <w:pStyle w:val="Normal"/>
        <w:numPr>
          <w:ilvl w:val="1"/>
          <w:numId w:val="4"/>
        </w:numPr>
        <w:shd w:val="clear" w:color="auto" w:fill="FFFFFF"/>
        <w:jc w:val="both"/>
        <w:rPr>
          <w:rFonts w:ascii="Times New Roman" w:hAnsi="Times New Roman"/>
          <w:sz w:val="22"/>
          <w:szCs w:val="22"/>
        </w:rPr>
      </w:pPr>
      <w:r>
        <w:rPr>
          <w:rFonts w:eastAsia="Century Gothic" w:cs="Century Gothic" w:ascii="Times New Roman" w:hAnsi="Times New Roman"/>
          <w:color w:val="000000"/>
          <w:sz w:val="22"/>
          <w:szCs w:val="22"/>
        </w:rPr>
        <w:t>Item como o óleo de girassol será para prestar atendimento a um certo grupo de paciente</w:t>
      </w:r>
      <w:sdt>
        <w:sdtPr/>
        <w:sdtContent>
          <w:r>
            <w:rPr>
              <w:rFonts w:eastAsia="Century Gothic" w:cs="Century Gothic" w:ascii="Times New Roman" w:hAnsi="Times New Roman"/>
              <w:color w:val="000000"/>
              <w:sz w:val="22"/>
              <w:szCs w:val="22"/>
            </w:rPr>
          </w:r>
          <w:sdt>
            <w:sdtPr>
              <w:id w:val="1223260598"/>
            </w:sdtPr>
            <w:sdtContent>
              <w:r>
                <w:rPr>
                  <w:rFonts w:eastAsia="Century Gothic" w:cs="Century Gothic" w:ascii="Times New Roman" w:hAnsi="Times New Roman"/>
                  <w:color w:val="000000"/>
                  <w:sz w:val="22"/>
                  <w:szCs w:val="22"/>
                </w:rPr>
                <w:t>s</w:t>
              </w:r>
            </w:sdtContent>
          </w:sdt>
        </w:sdtContent>
      </w:sdt>
      <w:r>
        <w:rPr>
          <w:rFonts w:eastAsia="Century Gothic" w:cs="Century Gothic" w:ascii="Times New Roman" w:hAnsi="Times New Roman"/>
          <w:color w:val="000000"/>
          <w:sz w:val="22"/>
          <w:szCs w:val="22"/>
        </w:rPr>
        <w:t xml:space="preserve"> do CISMIV.</w:t>
      </w:r>
    </w:p>
    <w:p>
      <w:pPr>
        <w:pStyle w:val="Normal"/>
        <w:numPr>
          <w:ilvl w:val="1"/>
          <w:numId w:val="4"/>
        </w:numPr>
        <w:spacing w:before="120" w:after="120"/>
        <w:jc w:val="both"/>
        <w:rPr>
          <w:rFonts w:ascii="Times New Roman" w:hAnsi="Times New Roman"/>
          <w:sz w:val="22"/>
          <w:szCs w:val="22"/>
        </w:rPr>
      </w:pPr>
      <w:r>
        <w:rPr>
          <w:rFonts w:eastAsia="Century Gothic" w:cs="Century Gothic" w:ascii="Times New Roman" w:hAnsi="Times New Roman"/>
          <w:color w:val="000000"/>
          <w:sz w:val="22"/>
          <w:szCs w:val="22"/>
        </w:rPr>
        <w:t xml:space="preserve">A quantidade total, foi estimada com base </w:t>
      </w:r>
      <w:sdt>
        <w:sdtPr>
          <w:id w:val="1181186002"/>
        </w:sdtPr>
        <w:sdtContent>
          <w:r>
            <w:rPr>
              <w:rFonts w:eastAsia="Century Gothic" w:cs="Century Gothic" w:ascii="Times New Roman" w:hAnsi="Times New Roman"/>
              <w:color w:val="000000"/>
              <w:sz w:val="22"/>
              <w:szCs w:val="22"/>
            </w:rPr>
            <w:t>no</w:t>
          </w:r>
          <w:sdt>
            <w:sdtPr>
              <w:showingPlcHdr/>
            </w:sdtPr>
            <w:sdtContent>
              <w:r>
                <w:rPr>
                  <w:rFonts w:eastAsia="Century Gothic" w:cs="Century Gothic" w:ascii="Times New Roman" w:hAnsi="Times New Roman"/>
                  <w:color w:val="000000"/>
                  <w:sz w:val="22"/>
                  <w:szCs w:val="22"/>
                </w:rPr>
              </w:r>
              <w:r>
                <w:rPr>
                  <w:rFonts w:eastAsia="Century Gothic" w:cs="Century Gothic" w:ascii="Times New Roman" w:hAnsi="Times New Roman"/>
                  <w:color w:val="000000"/>
                  <w:sz w:val="22"/>
                  <w:szCs w:val="22"/>
                </w:rPr>
              </w:r>
              <w:sdt>
                <w:sdtPr/>
                <w:sdtContent>
                  <w:r>
                    <w:rPr>
                      <w:rFonts w:eastAsia="Century Gothic" w:cs="Century Gothic" w:ascii="Times New Roman" w:hAnsi="Times New Roman"/>
                      <w:color w:val="000000"/>
                      <w:sz w:val="22"/>
                      <w:szCs w:val="22"/>
                    </w:rPr>
                  </w:r>
                </w:sdtContent>
              </w:sdt>
              <w:r>
                <w:rPr>
                  <w:rFonts w:eastAsia="Century Gothic" w:cs="Century Gothic" w:ascii="Times New Roman" w:hAnsi="Times New Roman"/>
                  <w:color w:val="000000"/>
                  <w:sz w:val="22"/>
                  <w:szCs w:val="22"/>
                </w:rPr>
              </w:r>
            </w:sdtContent>
          </w:sdt>
        </w:sdtContent>
      </w:sdt>
      <w:r>
        <w:rPr>
          <w:rFonts w:ascii="Times New Roman" w:hAnsi="Times New Roman"/>
          <w:sz w:val="22"/>
          <w:szCs w:val="22"/>
        </w:rPr>
        <w:t xml:space="preserve">     </w:t>
      </w:r>
      <w:r>
        <w:rPr>
          <w:rFonts w:eastAsia="Century Gothic" w:cs="Century Gothic" w:ascii="Times New Roman" w:hAnsi="Times New Roman"/>
          <w:color w:val="000000"/>
          <w:sz w:val="22"/>
          <w:szCs w:val="22"/>
        </w:rPr>
        <w:t xml:space="preserve"> consumo de meses anteriores e quadro de funcionários.</w:t>
      </w:r>
    </w:p>
    <w:p>
      <w:pPr>
        <w:pStyle w:val="Normal"/>
        <w:numPr>
          <w:ilvl w:val="1"/>
          <w:numId w:val="4"/>
        </w:numPr>
        <w:spacing w:before="120" w:after="120"/>
        <w:jc w:val="both"/>
        <w:rPr>
          <w:rFonts w:ascii="Times New Roman" w:hAnsi="Times New Roman"/>
          <w:sz w:val="22"/>
          <w:szCs w:val="22"/>
        </w:rPr>
      </w:pPr>
      <w:r>
        <w:rPr>
          <w:rFonts w:eastAsia="Century Gothic" w:cs="Century Gothic" w:ascii="Times New Roman" w:hAnsi="Times New Roman"/>
          <w:sz w:val="22"/>
          <w:szCs w:val="22"/>
        </w:rPr>
        <w:t>O critério de julgamento adotado é o menor preço ofertado por item.</w:t>
      </w:r>
    </w:p>
    <w:p>
      <w:pPr>
        <w:pStyle w:val="Normal"/>
        <w:numPr>
          <w:ilvl w:val="1"/>
          <w:numId w:val="4"/>
        </w:numPr>
        <w:ind w:left="284" w:hanging="0"/>
        <w:jc w:val="both"/>
        <w:rPr>
          <w:rFonts w:ascii="Times New Roman" w:hAnsi="Times New Roman"/>
          <w:sz w:val="22"/>
          <w:szCs w:val="22"/>
        </w:rPr>
      </w:pPr>
      <w:r>
        <w:rPr>
          <w:rFonts w:eastAsia="Century Gothic" w:cs="Century Gothic" w:ascii="Times New Roman" w:hAnsi="Times New Roman"/>
          <w:sz w:val="22"/>
          <w:szCs w:val="22"/>
        </w:rPr>
        <w:t xml:space="preserve">Justifica-se a adoção da licitação pelo Sistema de Registro de Preços, com amparo legal nos incisos Decreto nº 7892 de 23 de janeiro de 2013. </w:t>
      </w:r>
    </w:p>
    <w:p>
      <w:pPr>
        <w:pStyle w:val="Normal"/>
        <w:keepNext w:val="true"/>
        <w:keepLines/>
        <w:numPr>
          <w:ilvl w:val="0"/>
          <w:numId w:val="4"/>
        </w:numPr>
        <w:spacing w:lineRule="auto" w:line="276" w:before="480" w:after="120"/>
        <w:jc w:val="both"/>
        <w:rPr>
          <w:rFonts w:ascii="Times New Roman" w:hAnsi="Times New Roman"/>
          <w:sz w:val="22"/>
          <w:szCs w:val="22"/>
        </w:rPr>
      </w:pPr>
      <w:r>
        <w:rPr>
          <w:rFonts w:eastAsia="Century Gothic" w:cs="Century Gothic" w:ascii="Times New Roman" w:hAnsi="Times New Roman"/>
          <w:b/>
          <w:color w:val="000000"/>
          <w:sz w:val="22"/>
          <w:szCs w:val="22"/>
        </w:rPr>
        <w:t>CLASSIFICAÇÃO DOS BENS COMUNS</w:t>
      </w:r>
    </w:p>
    <w:p>
      <w:pPr>
        <w:pStyle w:val="Normal"/>
        <w:numPr>
          <w:ilvl w:val="1"/>
          <w:numId w:val="4"/>
        </w:numPr>
        <w:spacing w:lineRule="auto" w:line="276" w:before="120" w:after="120"/>
        <w:ind w:left="425" w:hanging="0"/>
        <w:jc w:val="both"/>
        <w:rPr>
          <w:rFonts w:ascii="Times New Roman" w:hAnsi="Times New Roman"/>
          <w:sz w:val="22"/>
          <w:szCs w:val="22"/>
        </w:rPr>
      </w:pPr>
      <w:bookmarkStart w:id="1" w:name="_heading=h.gjdgxs"/>
      <w:bookmarkEnd w:id="1"/>
      <w:r>
        <w:rPr>
          <w:rFonts w:eastAsia="Century Gothic" w:cs="Century Gothic" w:ascii="Times New Roman" w:hAnsi="Times New Roman"/>
          <w:sz w:val="22"/>
          <w:szCs w:val="22"/>
        </w:rPr>
        <w:t>Fica registrado que os itens que se pretende registrar preços especificados neste instrumento são de natureza comum por manterem padrões de desempenho e qualidade objetivamente definidos neste Termo de Referência, e por conter especificações usuais de mercado</w:t>
      </w:r>
      <w:r>
        <w:rPr>
          <w:rFonts w:eastAsia="Century Gothic" w:cs="Century Gothic" w:ascii="Times New Roman" w:hAnsi="Times New Roman"/>
          <w:color w:val="000000"/>
          <w:sz w:val="22"/>
          <w:szCs w:val="22"/>
        </w:rPr>
        <w:t>.</w:t>
      </w:r>
    </w:p>
    <w:p>
      <w:pPr>
        <w:pStyle w:val="Normal"/>
        <w:keepNext w:val="true"/>
        <w:keepLines/>
        <w:numPr>
          <w:ilvl w:val="0"/>
          <w:numId w:val="4"/>
        </w:numPr>
        <w:spacing w:lineRule="auto" w:line="276" w:before="480" w:after="120"/>
        <w:jc w:val="both"/>
        <w:rPr>
          <w:rFonts w:ascii="Times New Roman" w:hAnsi="Times New Roman"/>
          <w:sz w:val="22"/>
          <w:szCs w:val="22"/>
        </w:rPr>
      </w:pPr>
      <w:r>
        <w:rPr>
          <w:rFonts w:eastAsia="Century Gothic" w:cs="Century Gothic" w:ascii="Times New Roman" w:hAnsi="Times New Roman"/>
          <w:b/>
          <w:color w:val="000000"/>
          <w:sz w:val="22"/>
          <w:szCs w:val="22"/>
        </w:rPr>
        <w:t>ENTREGA E CRITÉRIOS DE ACEITAÇÃO DO OBJETO.</w:t>
      </w:r>
    </w:p>
    <w:p>
      <w:pPr>
        <w:pStyle w:val="Normal"/>
        <w:numPr>
          <w:ilvl w:val="1"/>
          <w:numId w:val="4"/>
        </w:numPr>
        <w:spacing w:lineRule="auto" w:line="276" w:before="120" w:after="120"/>
        <w:ind w:left="425" w:hanging="0"/>
        <w:jc w:val="both"/>
        <w:rPr>
          <w:rFonts w:ascii="Times New Roman" w:hAnsi="Times New Roman"/>
          <w:sz w:val="22"/>
          <w:szCs w:val="22"/>
        </w:rPr>
      </w:pPr>
      <w:r>
        <w:rPr>
          <w:rFonts w:eastAsia="Century Gothic" w:cs="Century Gothic" w:ascii="Times New Roman" w:hAnsi="Times New Roman"/>
          <w:color w:val="000000"/>
          <w:sz w:val="22"/>
          <w:szCs w:val="22"/>
        </w:rPr>
        <w:t xml:space="preserve">As entregas dos itens 01 e 02 serão efetuadas diariamente na parte da manhã as 08:00h e da tarde </w:t>
      </w:r>
      <w:sdt>
        <w:sdtPr>
          <w:id w:val="1456951698"/>
        </w:sdtPr>
        <w:sdtContent>
          <w:r>
            <w:rPr>
              <w:rFonts w:eastAsia="Century Gothic" w:cs="Century Gothic" w:ascii="Times New Roman" w:hAnsi="Times New Roman"/>
              <w:color w:val="000000"/>
              <w:sz w:val="22"/>
              <w:szCs w:val="22"/>
            </w:rPr>
            <w:t>às 14:30</w:t>
          </w:r>
          <w:sdt>
            <w:sdtPr>
              <w:showingPlcHdr/>
            </w:sdtPr>
            <w:sdtContent>
              <w:r>
                <w:rPr>
                  <w:rFonts w:eastAsia="Century Gothic" w:cs="Century Gothic" w:ascii="Times New Roman" w:hAnsi="Times New Roman"/>
                  <w:color w:val="000000"/>
                  <w:sz w:val="22"/>
                  <w:szCs w:val="22"/>
                </w:rPr>
              </w:r>
              <w:r>
                <w:rPr>
                  <w:rFonts w:eastAsia="Century Gothic" w:cs="Century Gothic" w:ascii="Times New Roman" w:hAnsi="Times New Roman"/>
                  <w:color w:val="000000"/>
                  <w:sz w:val="22"/>
                  <w:szCs w:val="22"/>
                </w:rPr>
              </w:r>
              <w:sdt>
                <w:sdtPr/>
                <w:sdtContent>
                  <w:r>
                    <w:rPr>
                      <w:rFonts w:eastAsia="Century Gothic" w:cs="Century Gothic" w:ascii="Times New Roman" w:hAnsi="Times New Roman"/>
                      <w:color w:val="000000"/>
                      <w:sz w:val="22"/>
                      <w:szCs w:val="22"/>
                    </w:rPr>
                  </w:r>
                </w:sdtContent>
              </w:sdt>
              <w:r>
                <w:rPr>
                  <w:rFonts w:eastAsia="Century Gothic" w:cs="Century Gothic" w:ascii="Times New Roman" w:hAnsi="Times New Roman"/>
                  <w:color w:val="000000"/>
                  <w:sz w:val="22"/>
                  <w:szCs w:val="22"/>
                </w:rPr>
              </w:r>
            </w:sdtContent>
          </w:sdt>
        </w:sdtContent>
      </w:sdt>
      <w:r>
        <w:rPr>
          <w:rFonts w:ascii="Times New Roman" w:hAnsi="Times New Roman"/>
          <w:sz w:val="22"/>
          <w:szCs w:val="22"/>
        </w:rPr>
        <w:t xml:space="preserve">     </w:t>
      </w:r>
      <w:r>
        <w:rPr>
          <w:rFonts w:eastAsia="Century Gothic" w:cs="Century Gothic" w:ascii="Times New Roman" w:hAnsi="Times New Roman"/>
          <w:color w:val="000000"/>
          <w:sz w:val="22"/>
          <w:szCs w:val="22"/>
        </w:rPr>
        <w:t xml:space="preserve"> de segunda a sexta feira na sede do CISMIV - na Rua José dos Santos, 120, centro, Viçosa – MG, CEP 36570-135. </w:t>
      </w:r>
    </w:p>
    <w:p>
      <w:pPr>
        <w:pStyle w:val="Normal"/>
        <w:numPr>
          <w:ilvl w:val="1"/>
          <w:numId w:val="4"/>
        </w:numPr>
        <w:spacing w:lineRule="auto" w:line="276" w:before="120" w:after="120"/>
        <w:ind w:left="425" w:hanging="0"/>
        <w:jc w:val="both"/>
        <w:rPr>
          <w:rFonts w:ascii="Times New Roman" w:hAnsi="Times New Roman"/>
          <w:sz w:val="22"/>
          <w:szCs w:val="22"/>
        </w:rPr>
      </w:pPr>
      <w:r>
        <w:rPr>
          <w:rFonts w:eastAsia="Century Gothic" w:cs="Century Gothic" w:ascii="Times New Roman" w:hAnsi="Times New Roman"/>
          <w:color w:val="000000"/>
          <w:sz w:val="22"/>
          <w:szCs w:val="22"/>
        </w:rPr>
        <w:t>Os</w:t>
      </w:r>
      <w:r>
        <w:rPr>
          <w:rFonts w:eastAsia="Century Gothic" w:cs="Century Gothic" w:ascii="Times New Roman" w:hAnsi="Times New Roman"/>
          <w:b/>
          <w:color w:val="000000"/>
          <w:sz w:val="22"/>
          <w:szCs w:val="22"/>
        </w:rPr>
        <w:t xml:space="preserve"> </w:t>
      </w:r>
      <w:r>
        <w:rPr>
          <w:rFonts w:eastAsia="Century Gothic" w:cs="Century Gothic" w:ascii="Times New Roman" w:hAnsi="Times New Roman"/>
          <w:color w:val="000000"/>
          <w:sz w:val="22"/>
          <w:szCs w:val="22"/>
        </w:rPr>
        <w:t xml:space="preserve">itens de 03 a 12 serão entregues na data e hora combinada de acordo com a necessidade e demanda do CISMIV. A ordem de serviço será emitida pelo CISMIV com o prazo de 02 dias </w:t>
      </w:r>
      <w:sdt>
        <w:sdtPr>
          <w:id w:val="1818102907"/>
        </w:sdtPr>
        <w:sdtContent>
          <w:r>
            <w:rPr>
              <w:rFonts w:eastAsia="Century Gothic" w:cs="Century Gothic" w:ascii="Times New Roman" w:hAnsi="Times New Roman"/>
              <w:color w:val="000000"/>
              <w:sz w:val="22"/>
              <w:szCs w:val="22"/>
            </w:rPr>
            <w:t xml:space="preserve">antecedentes </w:t>
          </w:r>
          <w:sdt>
            <w:sdtPr>
              <w:showingPlcHdr/>
            </w:sdtPr>
            <w:sdtContent>
              <w:r>
                <w:rPr>
                  <w:rFonts w:eastAsia="Century Gothic" w:cs="Century Gothic" w:ascii="Times New Roman" w:hAnsi="Times New Roman"/>
                  <w:color w:val="000000"/>
                  <w:sz w:val="22"/>
                  <w:szCs w:val="22"/>
                </w:rPr>
              </w:r>
              <w:r>
                <w:rPr>
                  <w:rFonts w:eastAsia="Century Gothic" w:cs="Century Gothic" w:ascii="Times New Roman" w:hAnsi="Times New Roman"/>
                  <w:color w:val="000000"/>
                  <w:sz w:val="22"/>
                  <w:szCs w:val="22"/>
                </w:rPr>
              </w:r>
              <w:sdt>
                <w:sdtPr/>
                <w:sdtContent>
                  <w:r>
                    <w:rPr>
                      <w:rFonts w:eastAsia="Century Gothic" w:cs="Century Gothic" w:ascii="Times New Roman" w:hAnsi="Times New Roman"/>
                      <w:color w:val="000000"/>
                      <w:sz w:val="22"/>
                      <w:szCs w:val="22"/>
                    </w:rPr>
                  </w:r>
                </w:sdtContent>
              </w:sdt>
              <w:r>
                <w:rPr>
                  <w:rFonts w:eastAsia="Century Gothic" w:cs="Century Gothic" w:ascii="Times New Roman" w:hAnsi="Times New Roman"/>
                  <w:color w:val="000000"/>
                  <w:sz w:val="22"/>
                  <w:szCs w:val="22"/>
                </w:rPr>
              </w:r>
            </w:sdtContent>
          </w:sdt>
        </w:sdtContent>
      </w:sdt>
      <w:r>
        <w:rPr>
          <w:rFonts w:ascii="Times New Roman" w:hAnsi="Times New Roman"/>
          <w:sz w:val="22"/>
          <w:szCs w:val="22"/>
        </w:rPr>
        <w:t xml:space="preserve">     </w:t>
      </w:r>
      <w:r>
        <w:rPr>
          <w:rFonts w:eastAsia="Century Gothic" w:cs="Century Gothic" w:ascii="Times New Roman" w:hAnsi="Times New Roman"/>
          <w:color w:val="000000"/>
          <w:sz w:val="22"/>
          <w:szCs w:val="22"/>
        </w:rPr>
        <w:t xml:space="preserve"> </w:t>
      </w:r>
      <w:sdt>
        <w:sdtPr>
          <w:id w:val="358564171"/>
        </w:sdtPr>
        <w:sdtContent>
          <w:r>
            <w:rPr>
              <w:rFonts w:eastAsia="Century Gothic" w:cs="Century Gothic" w:ascii="Times New Roman" w:hAnsi="Times New Roman"/>
              <w:color w:val="000000"/>
              <w:sz w:val="22"/>
              <w:szCs w:val="22"/>
            </w:rPr>
            <w:t>à</w:t>
          </w:r>
          <w:sdt>
            <w:sdtPr>
              <w:showingPlcHdr/>
            </w:sdtPr>
            <w:sdtContent>
              <w:r>
                <w:rPr>
                  <w:rFonts w:eastAsia="Century Gothic" w:cs="Century Gothic" w:ascii="Times New Roman" w:hAnsi="Times New Roman"/>
                  <w:color w:val="000000"/>
                  <w:sz w:val="22"/>
                  <w:szCs w:val="22"/>
                </w:rPr>
              </w:r>
              <w:r>
                <w:rPr>
                  <w:rFonts w:eastAsia="Century Gothic" w:cs="Century Gothic" w:ascii="Times New Roman" w:hAnsi="Times New Roman"/>
                  <w:color w:val="000000"/>
                  <w:sz w:val="22"/>
                  <w:szCs w:val="22"/>
                </w:rPr>
              </w:r>
              <w:sdt>
                <w:sdtPr/>
                <w:sdtContent>
                  <w:r>
                    <w:rPr>
                      <w:rFonts w:eastAsia="Century Gothic" w:cs="Century Gothic" w:ascii="Times New Roman" w:hAnsi="Times New Roman"/>
                      <w:color w:val="000000"/>
                      <w:sz w:val="22"/>
                      <w:szCs w:val="22"/>
                    </w:rPr>
                  </w:r>
                </w:sdtContent>
              </w:sdt>
              <w:r>
                <w:rPr>
                  <w:rFonts w:eastAsia="Century Gothic" w:cs="Century Gothic" w:ascii="Times New Roman" w:hAnsi="Times New Roman"/>
                  <w:color w:val="000000"/>
                  <w:sz w:val="22"/>
                  <w:szCs w:val="22"/>
                </w:rPr>
              </w:r>
            </w:sdtContent>
          </w:sdt>
        </w:sdtContent>
      </w:sdt>
      <w:r>
        <w:rPr>
          <w:rFonts w:ascii="Times New Roman" w:hAnsi="Times New Roman"/>
          <w:sz w:val="22"/>
          <w:szCs w:val="22"/>
        </w:rPr>
        <w:t xml:space="preserve">     </w:t>
      </w:r>
      <w:r>
        <w:rPr>
          <w:rFonts w:eastAsia="Century Gothic" w:cs="Century Gothic" w:ascii="Times New Roman" w:hAnsi="Times New Roman"/>
          <w:color w:val="000000"/>
          <w:sz w:val="22"/>
          <w:szCs w:val="22"/>
        </w:rPr>
        <w:t xml:space="preserve"> data da entrega na sede do CISMIV. O local a ser entregue é na sede do CISMIV, na Rua José dos Santos, 120, centro, Viçosa – MG, CEP 36570-135. </w:t>
      </w:r>
    </w:p>
    <w:p>
      <w:pPr>
        <w:pStyle w:val="Normal"/>
        <w:numPr>
          <w:ilvl w:val="1"/>
          <w:numId w:val="4"/>
        </w:numPr>
        <w:spacing w:lineRule="auto" w:line="276" w:before="120" w:after="120"/>
        <w:ind w:left="425" w:hanging="0"/>
        <w:jc w:val="both"/>
        <w:rPr>
          <w:rFonts w:ascii="Times New Roman" w:hAnsi="Times New Roman"/>
          <w:sz w:val="22"/>
          <w:szCs w:val="22"/>
        </w:rPr>
      </w:pPr>
      <w:r>
        <w:rPr>
          <w:rFonts w:eastAsia="Century Gothic" w:cs="Century Gothic" w:ascii="Times New Roman" w:hAnsi="Times New Roman"/>
          <w:sz w:val="22"/>
          <w:szCs w:val="22"/>
        </w:rPr>
        <w:t xml:space="preserve">No caso dos itens </w:t>
      </w:r>
      <w:sdt>
        <w:sdtPr/>
        <w:sdtContent>
          <w:r>
            <w:rPr>
              <w:rFonts w:eastAsia="Century Gothic" w:cs="Century Gothic" w:ascii="Times New Roman" w:hAnsi="Times New Roman"/>
              <w:sz w:val="22"/>
              <w:szCs w:val="22"/>
            </w:rPr>
          </w:r>
          <w:r>
            <w:rPr>
              <w:rFonts w:eastAsia="Century Gothic" w:cs="Century Gothic" w:ascii="Times New Roman" w:hAnsi="Times New Roman"/>
              <w:sz w:val="22"/>
              <w:szCs w:val="22"/>
            </w:rPr>
          </w:r>
        </w:sdtContent>
      </w:sdt>
      <w:r>
        <w:rPr>
          <w:rFonts w:eastAsia="Century Gothic" w:cs="Century Gothic" w:ascii="Times New Roman" w:hAnsi="Times New Roman"/>
          <w:sz w:val="22"/>
          <w:szCs w:val="22"/>
        </w:rPr>
        <w:t xml:space="preserve">(2, 3, 4, 5, 6, 7, 8, 9 e 10), o prazo de validade na data da entrega não poderá ser inferior a 06 (seis) meses do prazo total recomendado pelo fabricante. </w:t>
      </w:r>
    </w:p>
    <w:p>
      <w:pPr>
        <w:pStyle w:val="Normal"/>
        <w:numPr>
          <w:ilvl w:val="1"/>
          <w:numId w:val="4"/>
        </w:numPr>
        <w:spacing w:lineRule="auto" w:line="276" w:before="120" w:after="120"/>
        <w:ind w:left="425" w:hanging="0"/>
        <w:jc w:val="both"/>
        <w:rPr>
          <w:rFonts w:ascii="Times New Roman" w:hAnsi="Times New Roman"/>
          <w:sz w:val="22"/>
          <w:szCs w:val="22"/>
        </w:rPr>
      </w:pPr>
      <w:r>
        <w:rPr>
          <w:rFonts w:eastAsia="Century Gothic" w:cs="Century Gothic" w:ascii="Times New Roman" w:hAnsi="Times New Roman"/>
          <w:sz w:val="22"/>
          <w:szCs w:val="22"/>
        </w:rPr>
        <w:t xml:space="preserve">Os itens 11 e 12, de acordo com o item 4.2. deverão ser entregues quentes em embalagens térmicas como papel alumínio para conservar a temperatura quente, prontos para comer já fritos ou assados.  </w:t>
      </w:r>
    </w:p>
    <w:p>
      <w:pPr>
        <w:pStyle w:val="Normal"/>
        <w:numPr>
          <w:ilvl w:val="1"/>
          <w:numId w:val="4"/>
        </w:numPr>
        <w:spacing w:lineRule="auto" w:line="276" w:before="120" w:after="120"/>
        <w:ind w:left="425" w:hanging="0"/>
        <w:jc w:val="both"/>
        <w:rPr>
          <w:rFonts w:ascii="Times New Roman" w:hAnsi="Times New Roman"/>
          <w:sz w:val="22"/>
          <w:szCs w:val="22"/>
        </w:rPr>
      </w:pPr>
      <w:r>
        <w:rPr>
          <w:rFonts w:eastAsia="Century Gothic" w:cs="Century Gothic" w:ascii="Times New Roman" w:hAnsi="Times New Roman"/>
          <w:sz w:val="22"/>
          <w:szCs w:val="22"/>
        </w:rPr>
        <w:t>Os itens 8, 9 e 10 de acordo com o item 4.2 deverão ser entregues gelados prontos para beber.</w:t>
      </w:r>
    </w:p>
    <w:p>
      <w:pPr>
        <w:pStyle w:val="Normal"/>
        <w:spacing w:lineRule="auto" w:line="276" w:before="120" w:after="120"/>
        <w:ind w:left="426" w:hanging="0"/>
        <w:jc w:val="both"/>
        <w:rPr>
          <w:rFonts w:ascii="Times New Roman" w:hAnsi="Times New Roman"/>
          <w:sz w:val="22"/>
          <w:szCs w:val="22"/>
        </w:rPr>
      </w:pPr>
      <w:bookmarkStart w:id="2" w:name="_heading=h.30j0zll"/>
      <w:bookmarkEnd w:id="2"/>
      <w:r>
        <w:rPr>
          <w:rFonts w:eastAsia="Century Gothic" w:cs="Century Gothic" w:ascii="Times New Roman" w:hAnsi="Times New Roman"/>
          <w:sz w:val="22"/>
          <w:szCs w:val="22"/>
        </w:rPr>
        <w:t xml:space="preserve">4.6. Na hipótese de a verificação de inconformidade do produto entregue com o licitado, o CISMIV resguarda o direito de devolução dos itens, devendo a empresa realizar a imediata substituição, nos termos deste instrumento. </w:t>
      </w:r>
    </w:p>
    <w:p>
      <w:pPr>
        <w:pStyle w:val="Normal"/>
        <w:spacing w:lineRule="auto" w:line="276" w:before="120" w:after="120"/>
        <w:ind w:left="426" w:hanging="0"/>
        <w:jc w:val="both"/>
        <w:rPr>
          <w:rFonts w:ascii="Times New Roman" w:hAnsi="Times New Roman"/>
          <w:sz w:val="22"/>
          <w:szCs w:val="22"/>
        </w:rPr>
      </w:pPr>
      <w:r>
        <w:rPr>
          <w:rFonts w:eastAsia="Century Gothic" w:cs="Century Gothic" w:ascii="Times New Roman" w:hAnsi="Times New Roman"/>
          <w:color w:val="000000"/>
          <w:sz w:val="22"/>
          <w:szCs w:val="22"/>
        </w:rPr>
        <w:t>4.7. O recebimento provisório ou definitivo do objeto não exclui a responsabilidade da contratada pelos prejuízos resultantes da incorreta execução do contrato.</w:t>
      </w:r>
    </w:p>
    <w:p>
      <w:pPr>
        <w:pStyle w:val="Normal"/>
        <w:spacing w:lineRule="auto" w:line="276" w:before="120" w:after="0"/>
        <w:ind w:left="426" w:hanging="0"/>
        <w:jc w:val="both"/>
        <w:rPr>
          <w:rFonts w:ascii="Times New Roman" w:hAnsi="Times New Roman"/>
          <w:sz w:val="22"/>
          <w:szCs w:val="22"/>
        </w:rPr>
      </w:pPr>
      <w:r>
        <w:rPr>
          <w:rFonts w:ascii="Times New Roman" w:hAnsi="Times New Roman"/>
          <w:sz w:val="22"/>
          <w:szCs w:val="22"/>
        </w:rPr>
        <w:t xml:space="preserve">4.8.  </w:t>
      </w:r>
      <w:r>
        <w:rPr>
          <w:rFonts w:eastAsia="Century Gothic" w:cs="Century Gothic" w:ascii="Times New Roman" w:hAnsi="Times New Roman"/>
          <w:color w:val="000000"/>
          <w:sz w:val="22"/>
          <w:szCs w:val="22"/>
        </w:rPr>
        <w:t>Eventualmente as entregas poderão ser suspensas em caso de feriados ou suspensão do expediente.</w:t>
      </w:r>
    </w:p>
    <w:p>
      <w:pPr>
        <w:pStyle w:val="Normal"/>
        <w:spacing w:lineRule="auto" w:line="276" w:before="0" w:after="120"/>
        <w:ind w:left="716" w:hanging="0"/>
        <w:jc w:val="both"/>
        <w:rPr>
          <w:rFonts w:ascii="Times New Roman" w:hAnsi="Times New Roman" w:eastAsia="Century Gothic" w:cs="Century Gothic"/>
          <w:color w:val="000000"/>
          <w:sz w:val="22"/>
          <w:szCs w:val="22"/>
        </w:rPr>
      </w:pPr>
      <w:r>
        <w:rPr>
          <w:rFonts w:eastAsia="Century Gothic" w:cs="Century Gothic" w:ascii="Times New Roman" w:hAnsi="Times New Roman"/>
          <w:color w:val="000000"/>
          <w:sz w:val="22"/>
          <w:szCs w:val="22"/>
        </w:rPr>
      </w:r>
    </w:p>
    <w:p>
      <w:pPr>
        <w:pStyle w:val="Normal"/>
        <w:keepNext w:val="true"/>
        <w:keepLines/>
        <w:numPr>
          <w:ilvl w:val="0"/>
          <w:numId w:val="4"/>
        </w:numPr>
        <w:spacing w:lineRule="auto" w:line="276" w:before="480" w:after="120"/>
        <w:jc w:val="both"/>
        <w:rPr>
          <w:rFonts w:ascii="Times New Roman" w:hAnsi="Times New Roman"/>
          <w:sz w:val="22"/>
          <w:szCs w:val="22"/>
        </w:rPr>
      </w:pPr>
      <w:r>
        <w:rPr>
          <w:rFonts w:eastAsia="Century Gothic" w:cs="Century Gothic" w:ascii="Times New Roman" w:hAnsi="Times New Roman"/>
          <w:b/>
          <w:color w:val="000000"/>
          <w:sz w:val="22"/>
          <w:szCs w:val="22"/>
        </w:rPr>
        <w:t>OBRIGAÇÕES DA CONTRATANTE</w:t>
      </w:r>
    </w:p>
    <w:p>
      <w:pPr>
        <w:pStyle w:val="Normal"/>
        <w:numPr>
          <w:ilvl w:val="1"/>
          <w:numId w:val="4"/>
        </w:numPr>
        <w:spacing w:lineRule="auto" w:line="276" w:before="120" w:after="120"/>
        <w:ind w:left="425" w:hanging="0"/>
        <w:jc w:val="both"/>
        <w:rPr>
          <w:rFonts w:ascii="Times New Roman" w:hAnsi="Times New Roman"/>
          <w:sz w:val="22"/>
          <w:szCs w:val="22"/>
        </w:rPr>
      </w:pPr>
      <w:r>
        <w:rPr>
          <w:rFonts w:eastAsia="Century Gothic" w:cs="Century Gothic" w:ascii="Times New Roman" w:hAnsi="Times New Roman"/>
          <w:sz w:val="22"/>
          <w:szCs w:val="22"/>
        </w:rPr>
        <w:t>São obrigações da Contratante:</w:t>
      </w:r>
    </w:p>
    <w:p>
      <w:pPr>
        <w:pStyle w:val="Normal"/>
        <w:numPr>
          <w:ilvl w:val="2"/>
          <w:numId w:val="4"/>
        </w:numPr>
        <w:spacing w:lineRule="auto" w:line="276" w:before="120" w:after="120"/>
        <w:ind w:left="1134" w:hanging="0"/>
        <w:jc w:val="both"/>
        <w:rPr>
          <w:rFonts w:ascii="Times New Roman" w:hAnsi="Times New Roman"/>
          <w:sz w:val="22"/>
          <w:szCs w:val="22"/>
        </w:rPr>
      </w:pPr>
      <w:r>
        <w:rPr>
          <w:rFonts w:eastAsia="Century Gothic" w:cs="Century Gothic" w:ascii="Times New Roman" w:hAnsi="Times New Roman"/>
          <w:sz w:val="22"/>
          <w:szCs w:val="22"/>
        </w:rPr>
        <w:t>Receber o objeto no prazo e condições estabelecidas no Edital e seus anexos;</w:t>
      </w:r>
    </w:p>
    <w:p>
      <w:pPr>
        <w:pStyle w:val="Normal"/>
        <w:numPr>
          <w:ilvl w:val="2"/>
          <w:numId w:val="4"/>
        </w:numPr>
        <w:spacing w:lineRule="auto" w:line="276" w:before="120" w:after="120"/>
        <w:ind w:left="1134" w:hanging="0"/>
        <w:jc w:val="both"/>
        <w:rPr>
          <w:rFonts w:ascii="Times New Roman" w:hAnsi="Times New Roman"/>
          <w:sz w:val="22"/>
          <w:szCs w:val="22"/>
        </w:rPr>
      </w:pPr>
      <w:r>
        <w:rPr>
          <w:rFonts w:eastAsia="Century Gothic" w:cs="Century Gothic" w:ascii="Times New Roman" w:hAnsi="Times New Roman"/>
          <w:sz w:val="22"/>
          <w:szCs w:val="22"/>
        </w:rPr>
        <w:t>Verificar minuciosamente, no prazo fixado, a conformidade dos bens recebidos provisoriamente com as especificações constantes do Edital e da proposta, para fins de aceitação e recebimento definitivo;</w:t>
      </w:r>
    </w:p>
    <w:p>
      <w:pPr>
        <w:pStyle w:val="Normal"/>
        <w:numPr>
          <w:ilvl w:val="2"/>
          <w:numId w:val="4"/>
        </w:numPr>
        <w:spacing w:lineRule="auto" w:line="276" w:before="120" w:after="120"/>
        <w:ind w:left="1134" w:hanging="0"/>
        <w:jc w:val="both"/>
        <w:rPr>
          <w:rFonts w:ascii="Times New Roman" w:hAnsi="Times New Roman"/>
          <w:sz w:val="22"/>
          <w:szCs w:val="22"/>
        </w:rPr>
      </w:pPr>
      <w:r>
        <w:rPr>
          <w:rFonts w:eastAsia="Century Gothic" w:cs="Century Gothic" w:ascii="Times New Roman" w:hAnsi="Times New Roman"/>
          <w:sz w:val="22"/>
          <w:szCs w:val="22"/>
        </w:rPr>
        <w:t>Comunicar à Contratada, por escrito, sobre imperfeições, falhas ou irregularidades verificadas no objeto fornecido, para que seja substituído, reparado ou corrigido;</w:t>
      </w:r>
    </w:p>
    <w:p>
      <w:pPr>
        <w:pStyle w:val="Normal"/>
        <w:numPr>
          <w:ilvl w:val="2"/>
          <w:numId w:val="4"/>
        </w:numPr>
        <w:spacing w:lineRule="auto" w:line="276" w:before="120" w:after="120"/>
        <w:ind w:left="1134" w:hanging="0"/>
        <w:jc w:val="both"/>
        <w:rPr>
          <w:rFonts w:ascii="Times New Roman" w:hAnsi="Times New Roman"/>
          <w:sz w:val="22"/>
          <w:szCs w:val="22"/>
        </w:rPr>
      </w:pPr>
      <w:r>
        <w:rPr>
          <w:rFonts w:eastAsia="Century Gothic" w:cs="Century Gothic" w:ascii="Times New Roman" w:hAnsi="Times New Roman"/>
          <w:sz w:val="22"/>
          <w:szCs w:val="22"/>
        </w:rPr>
        <w:t>Acompanhar e fiscalizar o cumprimento das obrigações da Contratada, através de comissão/servidor especialmente designado;</w:t>
      </w:r>
    </w:p>
    <w:p>
      <w:pPr>
        <w:pStyle w:val="Normal"/>
        <w:numPr>
          <w:ilvl w:val="2"/>
          <w:numId w:val="4"/>
        </w:numPr>
        <w:spacing w:lineRule="auto" w:line="276" w:before="120" w:after="120"/>
        <w:ind w:left="1134" w:hanging="0"/>
        <w:jc w:val="both"/>
        <w:rPr>
          <w:rFonts w:ascii="Times New Roman" w:hAnsi="Times New Roman"/>
          <w:sz w:val="22"/>
          <w:szCs w:val="22"/>
        </w:rPr>
      </w:pPr>
      <w:r>
        <w:rPr>
          <w:rFonts w:eastAsia="Century Gothic" w:cs="Century Gothic" w:ascii="Times New Roman" w:hAnsi="Times New Roman"/>
          <w:sz w:val="22"/>
          <w:szCs w:val="22"/>
        </w:rPr>
        <w:t>Efetuar o pagamento à Contratada</w:t>
      </w:r>
      <w:r>
        <w:rPr>
          <w:rFonts w:eastAsia="Century Gothic" w:cs="Century Gothic" w:ascii="Times New Roman" w:hAnsi="Times New Roman"/>
          <w:b/>
          <w:sz w:val="22"/>
          <w:szCs w:val="22"/>
        </w:rPr>
        <w:t xml:space="preserve"> </w:t>
      </w:r>
      <w:r>
        <w:rPr>
          <w:rFonts w:eastAsia="Century Gothic" w:cs="Century Gothic" w:ascii="Times New Roman" w:hAnsi="Times New Roman"/>
          <w:sz w:val="22"/>
          <w:szCs w:val="22"/>
        </w:rPr>
        <w:t>no valor correspondente ao fornecimento do objeto, no prazo e forma estabelecidos no Edital e seus anexos;</w:t>
      </w:r>
    </w:p>
    <w:p>
      <w:pPr>
        <w:pStyle w:val="Normal"/>
        <w:numPr>
          <w:ilvl w:val="1"/>
          <w:numId w:val="4"/>
        </w:numPr>
        <w:spacing w:lineRule="auto" w:line="276" w:before="120" w:after="120"/>
        <w:ind w:left="425" w:hanging="0"/>
        <w:jc w:val="both"/>
        <w:rPr>
          <w:rFonts w:ascii="Times New Roman" w:hAnsi="Times New Roman"/>
          <w:sz w:val="22"/>
          <w:szCs w:val="22"/>
        </w:rPr>
      </w:pPr>
      <w:r>
        <w:rPr>
          <w:rFonts w:eastAsia="Century Gothic" w:cs="Century Gothic" w:ascii="Times New Roman" w:hAnsi="Times New Roman"/>
          <w:sz w:val="22"/>
          <w:szCs w:val="22"/>
        </w:rPr>
        <w:t>A Administração não responderá por quaisquer compromissos assumidos pela Contratada com terceiros, ainda que vinculados à execução do contrato, bem como por qualquer dano causado a terceiros em decorrência de ato da Contratada, de seus empregados, prepostos ou subordinados.</w:t>
      </w:r>
    </w:p>
    <w:p>
      <w:pPr>
        <w:pStyle w:val="Normal"/>
        <w:keepNext w:val="true"/>
        <w:keepLines/>
        <w:numPr>
          <w:ilvl w:val="0"/>
          <w:numId w:val="4"/>
        </w:numPr>
        <w:spacing w:lineRule="auto" w:line="276" w:before="480" w:after="120"/>
        <w:jc w:val="both"/>
        <w:rPr>
          <w:rFonts w:ascii="Times New Roman" w:hAnsi="Times New Roman"/>
          <w:sz w:val="22"/>
          <w:szCs w:val="22"/>
        </w:rPr>
      </w:pPr>
      <w:r>
        <w:rPr>
          <w:rFonts w:eastAsia="Century Gothic" w:cs="Century Gothic" w:ascii="Times New Roman" w:hAnsi="Times New Roman"/>
          <w:b/>
          <w:color w:val="000000"/>
          <w:sz w:val="22"/>
          <w:szCs w:val="22"/>
        </w:rPr>
        <w:t>OBRIGAÇÕES DA CONTRATADA</w:t>
      </w:r>
    </w:p>
    <w:p>
      <w:pPr>
        <w:pStyle w:val="Normal"/>
        <w:numPr>
          <w:ilvl w:val="1"/>
          <w:numId w:val="4"/>
        </w:numPr>
        <w:spacing w:lineRule="auto" w:line="276" w:before="120" w:after="120"/>
        <w:ind w:left="425" w:hanging="0"/>
        <w:jc w:val="both"/>
        <w:rPr>
          <w:rFonts w:ascii="Times New Roman" w:hAnsi="Times New Roman"/>
          <w:sz w:val="22"/>
          <w:szCs w:val="22"/>
        </w:rPr>
      </w:pPr>
      <w:r>
        <w:rPr>
          <w:rFonts w:eastAsia="Century Gothic" w:cs="Century Gothic" w:ascii="Times New Roman" w:hAnsi="Times New Roman"/>
          <w:sz w:val="22"/>
          <w:szCs w:val="22"/>
        </w:rPr>
        <w:t>A Contratada deve cumprir todas as obrigações constantes no Edital, seus anexos e sua proposta, assumindo como exclusivamente seus os riscos e as despesas decorrentes da boa e perfeita execução do objeto e, ainda:</w:t>
      </w:r>
    </w:p>
    <w:p>
      <w:pPr>
        <w:pStyle w:val="Normal"/>
        <w:numPr>
          <w:ilvl w:val="2"/>
          <w:numId w:val="4"/>
        </w:numPr>
        <w:spacing w:lineRule="auto" w:line="276" w:before="120" w:after="120"/>
        <w:ind w:left="1134" w:hanging="0"/>
        <w:jc w:val="both"/>
        <w:rPr>
          <w:rFonts w:ascii="Times New Roman" w:hAnsi="Times New Roman"/>
          <w:sz w:val="22"/>
          <w:szCs w:val="22"/>
        </w:rPr>
      </w:pPr>
      <w:r>
        <w:rPr>
          <w:rFonts w:eastAsia="Century Gothic" w:cs="Century Gothic" w:ascii="Times New Roman" w:hAnsi="Times New Roman"/>
          <w:sz w:val="22"/>
          <w:szCs w:val="22"/>
        </w:rPr>
        <w:t xml:space="preserve">Efetuar a entrega do objeto em perfeitas condições, conforme especificações, prazo e local constantes no item 5.1., acompanhado da respectiva nota fiscal, na qual constarão as indicações referentes a: </w:t>
      </w:r>
      <w:r>
        <w:rPr>
          <w:rFonts w:eastAsia="Century Gothic" w:cs="Century Gothic" w:ascii="Times New Roman" w:hAnsi="Times New Roman"/>
          <w:i/>
          <w:sz w:val="22"/>
          <w:szCs w:val="22"/>
        </w:rPr>
        <w:t>marca, fabricante, modelo, procedência e prazo de garantia ou validade e lote;</w:t>
      </w:r>
    </w:p>
    <w:p>
      <w:pPr>
        <w:pStyle w:val="Normal"/>
        <w:numPr>
          <w:ilvl w:val="2"/>
          <w:numId w:val="4"/>
        </w:numPr>
        <w:spacing w:lineRule="auto" w:line="276" w:before="120" w:after="120"/>
        <w:ind w:left="1134" w:hanging="0"/>
        <w:jc w:val="both"/>
        <w:rPr>
          <w:rFonts w:ascii="Times New Roman" w:hAnsi="Times New Roman"/>
          <w:sz w:val="22"/>
          <w:szCs w:val="22"/>
        </w:rPr>
      </w:pPr>
      <w:r>
        <w:rPr>
          <w:rFonts w:eastAsia="Century Gothic" w:cs="Century Gothic" w:ascii="Times New Roman" w:hAnsi="Times New Roman"/>
          <w:sz w:val="22"/>
          <w:szCs w:val="22"/>
        </w:rPr>
        <w:t>Responsabilizar-se pelos vícios e danos decorrentes do objeto, de acordo com os artigos 12, 13 e 17 a 27, do Código de Defesa do Consumidor (Lei nº 8.078, de 1990);</w:t>
      </w:r>
    </w:p>
    <w:p>
      <w:pPr>
        <w:pStyle w:val="Normal"/>
        <w:numPr>
          <w:ilvl w:val="2"/>
          <w:numId w:val="4"/>
        </w:numPr>
        <w:spacing w:lineRule="auto" w:line="276" w:before="120" w:after="120"/>
        <w:ind w:left="1134" w:hanging="0"/>
        <w:jc w:val="both"/>
        <w:rPr>
          <w:rFonts w:ascii="Times New Roman" w:hAnsi="Times New Roman"/>
          <w:sz w:val="22"/>
          <w:szCs w:val="22"/>
        </w:rPr>
      </w:pPr>
      <w:r>
        <w:rPr>
          <w:rFonts w:eastAsia="Century Gothic" w:cs="Century Gothic" w:ascii="Times New Roman" w:hAnsi="Times New Roman"/>
          <w:sz w:val="22"/>
          <w:szCs w:val="22"/>
        </w:rPr>
        <w:t>Substituir, reparar ou corrigir, às suas expensas, no prazo fixado neste Termo de Referência, o objeto com avarias ou defeitos;</w:t>
      </w:r>
    </w:p>
    <w:p>
      <w:pPr>
        <w:pStyle w:val="Normal"/>
        <w:numPr>
          <w:ilvl w:val="2"/>
          <w:numId w:val="4"/>
        </w:numPr>
        <w:spacing w:lineRule="auto" w:line="276" w:before="120" w:after="120"/>
        <w:ind w:left="1134" w:hanging="0"/>
        <w:jc w:val="both"/>
        <w:rPr>
          <w:rFonts w:ascii="Times New Roman" w:hAnsi="Times New Roman"/>
          <w:sz w:val="22"/>
          <w:szCs w:val="22"/>
        </w:rPr>
      </w:pPr>
      <w:r>
        <w:rPr>
          <w:rFonts w:eastAsia="Century Gothic" w:cs="Century Gothic" w:ascii="Times New Roman" w:hAnsi="Times New Roman"/>
          <w:sz w:val="22"/>
          <w:szCs w:val="22"/>
        </w:rPr>
        <w:t>Comunicar à Contratante, no prazo máximo de 24 (vinte e quatro) horas que antecede a data da entrega, os motivos que impossibilitem o cumprimento do prazo previsto, com a devida comprovação;</w:t>
      </w:r>
    </w:p>
    <w:p>
      <w:pPr>
        <w:pStyle w:val="Normal"/>
        <w:numPr>
          <w:ilvl w:val="2"/>
          <w:numId w:val="4"/>
        </w:numPr>
        <w:spacing w:lineRule="auto" w:line="276" w:before="120" w:after="120"/>
        <w:ind w:left="1134" w:hanging="0"/>
        <w:jc w:val="both"/>
        <w:rPr>
          <w:rFonts w:ascii="Times New Roman" w:hAnsi="Times New Roman"/>
          <w:sz w:val="22"/>
          <w:szCs w:val="22"/>
        </w:rPr>
      </w:pPr>
      <w:r>
        <w:rPr>
          <w:rFonts w:eastAsia="Century Gothic" w:cs="Century Gothic" w:ascii="Times New Roman" w:hAnsi="Times New Roman"/>
          <w:sz w:val="22"/>
          <w:szCs w:val="22"/>
        </w:rPr>
        <w:t>Manter, durante toda a execução do contrato, em compatibilidade com as obrigações assumidas, todas as condições de habilitação e qualificação exigidas na licitação;</w:t>
      </w:r>
    </w:p>
    <w:p>
      <w:pPr>
        <w:pStyle w:val="Normal"/>
        <w:numPr>
          <w:ilvl w:val="2"/>
          <w:numId w:val="4"/>
        </w:numPr>
        <w:spacing w:lineRule="auto" w:line="276" w:before="120" w:after="120"/>
        <w:ind w:left="1134" w:hanging="0"/>
        <w:jc w:val="both"/>
        <w:rPr>
          <w:rFonts w:ascii="Times New Roman" w:hAnsi="Times New Roman"/>
          <w:sz w:val="22"/>
          <w:szCs w:val="22"/>
        </w:rPr>
      </w:pPr>
      <w:r>
        <w:rPr>
          <w:rFonts w:eastAsia="Century Gothic" w:cs="Century Gothic" w:ascii="Times New Roman" w:hAnsi="Times New Roman"/>
          <w:sz w:val="22"/>
          <w:szCs w:val="22"/>
        </w:rPr>
        <w:t>Indicar preposto para representá-la durante a execução do contrato.</w:t>
      </w:r>
    </w:p>
    <w:p>
      <w:pPr>
        <w:pStyle w:val="Normal"/>
        <w:numPr>
          <w:ilvl w:val="2"/>
          <w:numId w:val="4"/>
        </w:numPr>
        <w:spacing w:lineRule="auto" w:line="276" w:before="120" w:after="120"/>
        <w:ind w:left="1134" w:hanging="0"/>
        <w:jc w:val="both"/>
        <w:rPr>
          <w:rFonts w:ascii="Times New Roman" w:hAnsi="Times New Roman"/>
          <w:sz w:val="22"/>
          <w:szCs w:val="22"/>
        </w:rPr>
      </w:pPr>
      <w:r>
        <w:rPr>
          <w:rFonts w:eastAsia="Century Gothic" w:cs="Century Gothic" w:ascii="Times New Roman" w:hAnsi="Times New Roman"/>
          <w:sz w:val="22"/>
          <w:szCs w:val="22"/>
        </w:rPr>
        <w:t>Promover a destinação final ambientalmente adequada, sempre que a legislação assim o exigir, como nos casos de pneus, pilhas e baterias, etc.</w:t>
      </w:r>
    </w:p>
    <w:p>
      <w:pPr>
        <w:pStyle w:val="Normal"/>
        <w:numPr>
          <w:ilvl w:val="1"/>
          <w:numId w:val="4"/>
        </w:numPr>
        <w:spacing w:lineRule="auto" w:line="276" w:before="120" w:after="120"/>
        <w:jc w:val="both"/>
        <w:rPr>
          <w:rFonts w:ascii="Times New Roman" w:hAnsi="Times New Roman"/>
          <w:sz w:val="22"/>
          <w:szCs w:val="22"/>
        </w:rPr>
      </w:pPr>
      <w:r>
        <w:rPr>
          <w:rFonts w:eastAsia="Century Gothic" w:cs="Century Gothic" w:ascii="Times New Roman" w:hAnsi="Times New Roman"/>
          <w:color w:val="000000"/>
          <w:sz w:val="22"/>
          <w:szCs w:val="22"/>
        </w:rPr>
        <w:t>A contratada deverá efetuar as entregas de acordo com a demanda do CISMIV, como cita no item 4.</w:t>
      </w:r>
    </w:p>
    <w:p>
      <w:pPr>
        <w:pStyle w:val="Normal"/>
        <w:keepNext w:val="true"/>
        <w:keepLines/>
        <w:numPr>
          <w:ilvl w:val="0"/>
          <w:numId w:val="4"/>
        </w:numPr>
        <w:spacing w:lineRule="auto" w:line="276" w:before="480" w:after="120"/>
        <w:jc w:val="both"/>
        <w:rPr>
          <w:rFonts w:ascii="Times New Roman" w:hAnsi="Times New Roman"/>
          <w:sz w:val="22"/>
          <w:szCs w:val="22"/>
        </w:rPr>
      </w:pPr>
      <w:r>
        <w:rPr>
          <w:rFonts w:eastAsia="Century Gothic" w:cs="Century Gothic" w:ascii="Times New Roman" w:hAnsi="Times New Roman"/>
          <w:b/>
          <w:color w:val="000000"/>
          <w:sz w:val="22"/>
          <w:szCs w:val="22"/>
        </w:rPr>
        <w:t>DA SUBCONTRATAÇÃO</w:t>
      </w:r>
    </w:p>
    <w:p>
      <w:pPr>
        <w:pStyle w:val="Normal"/>
        <w:numPr>
          <w:ilvl w:val="1"/>
          <w:numId w:val="4"/>
        </w:numPr>
        <w:spacing w:lineRule="auto" w:line="276" w:before="120" w:after="120"/>
        <w:jc w:val="both"/>
        <w:rPr>
          <w:rFonts w:ascii="Times New Roman" w:hAnsi="Times New Roman"/>
          <w:sz w:val="22"/>
          <w:szCs w:val="22"/>
        </w:rPr>
      </w:pPr>
      <w:r>
        <w:rPr>
          <w:rFonts w:eastAsia="Century Gothic" w:cs="Century Gothic" w:ascii="Times New Roman" w:hAnsi="Times New Roman"/>
          <w:color w:val="000000"/>
          <w:sz w:val="22"/>
          <w:szCs w:val="22"/>
        </w:rPr>
        <w:t>Não será admitida a subcontratação do objeto licitatório.</w:t>
      </w:r>
    </w:p>
    <w:p>
      <w:pPr>
        <w:pStyle w:val="Normal"/>
        <w:keepNext w:val="true"/>
        <w:keepLines/>
        <w:numPr>
          <w:ilvl w:val="0"/>
          <w:numId w:val="4"/>
        </w:numPr>
        <w:spacing w:lineRule="auto" w:line="276" w:before="480" w:after="120"/>
        <w:jc w:val="both"/>
        <w:rPr>
          <w:rFonts w:ascii="Times New Roman" w:hAnsi="Times New Roman"/>
          <w:sz w:val="22"/>
          <w:szCs w:val="22"/>
        </w:rPr>
      </w:pPr>
      <w:r>
        <w:rPr>
          <w:rFonts w:eastAsia="Century Gothic" w:cs="Century Gothic" w:ascii="Times New Roman" w:hAnsi="Times New Roman"/>
          <w:b/>
          <w:color w:val="000000"/>
          <w:sz w:val="22"/>
          <w:szCs w:val="22"/>
        </w:rPr>
        <w:t>DA ALTERAÇÃO SUBJETIVA</w:t>
      </w:r>
    </w:p>
    <w:p>
      <w:pPr>
        <w:pStyle w:val="Normal"/>
        <w:numPr>
          <w:ilvl w:val="1"/>
          <w:numId w:val="4"/>
        </w:numPr>
        <w:spacing w:lineRule="auto" w:line="276" w:before="120" w:after="120"/>
        <w:ind w:left="425" w:hanging="0"/>
        <w:jc w:val="both"/>
        <w:rPr>
          <w:rFonts w:ascii="Times New Roman" w:hAnsi="Times New Roman"/>
          <w:sz w:val="22"/>
          <w:szCs w:val="22"/>
        </w:rPr>
      </w:pPr>
      <w:r>
        <w:rPr>
          <w:rFonts w:eastAsia="Century Gothic" w:cs="Century Gothic" w:ascii="Times New Roman" w:hAnsi="Times New Roman"/>
          <w:sz w:val="22"/>
          <w:szCs w:val="22"/>
        </w:rPr>
        <w:t>É admissível a fusão, cisão ou incorporação da contratada com/em outra pessoa jurídica, desde que sejam observados pela nova pessoa jurídica todos os requisitos de habilitação exigidos na licitação original; sejam mantidas as demais cláusulas e condições do contrato; não haja prejuízo à execução do objeto pactuado e haja a anuência expressa da Administração à continuidade do contrato.</w:t>
      </w:r>
    </w:p>
    <w:p>
      <w:pPr>
        <w:pStyle w:val="Normal"/>
        <w:keepNext w:val="true"/>
        <w:keepLines/>
        <w:numPr>
          <w:ilvl w:val="0"/>
          <w:numId w:val="4"/>
        </w:numPr>
        <w:spacing w:lineRule="auto" w:line="276" w:before="480" w:after="120"/>
        <w:jc w:val="both"/>
        <w:rPr>
          <w:rFonts w:ascii="Times New Roman" w:hAnsi="Times New Roman"/>
          <w:sz w:val="22"/>
          <w:szCs w:val="22"/>
        </w:rPr>
      </w:pPr>
      <w:r>
        <w:rPr>
          <w:rFonts w:eastAsia="Century Gothic" w:cs="Century Gothic" w:ascii="Times New Roman" w:hAnsi="Times New Roman"/>
          <w:b/>
          <w:color w:val="000000"/>
          <w:sz w:val="22"/>
          <w:szCs w:val="22"/>
        </w:rPr>
        <w:t>DO CONTROLE E FISCALIZAÇÃO DA EXECUÇÃO</w:t>
      </w:r>
    </w:p>
    <w:p>
      <w:pPr>
        <w:pStyle w:val="Normal"/>
        <w:numPr>
          <w:ilvl w:val="1"/>
          <w:numId w:val="4"/>
        </w:numPr>
        <w:spacing w:lineRule="auto" w:line="276" w:before="120" w:after="120"/>
        <w:ind w:left="425" w:hanging="0"/>
        <w:jc w:val="both"/>
        <w:rPr>
          <w:rFonts w:ascii="Times New Roman" w:hAnsi="Times New Roman"/>
          <w:sz w:val="22"/>
          <w:szCs w:val="22"/>
        </w:rPr>
      </w:pPr>
      <w:r>
        <w:rPr>
          <w:rFonts w:eastAsia="Century Gothic" w:cs="Century Gothic" w:ascii="Times New Roman" w:hAnsi="Times New Roman"/>
          <w:color w:val="000000"/>
          <w:sz w:val="22"/>
          <w:szCs w:val="22"/>
        </w:rPr>
        <w:t>Nos termos do art. 67 Lei nº 8.666, de 1993, será realizada por Laí Neida Macedo coordenadora administrativa e financeiro, responsável por acompanhar e fiscalizar a entrega dos bens, anotando em registro próprio todas as ocorrências relacionadas com a execução e determinando o que for necessário à regularização de falhas ou defeitos observados.</w:t>
      </w:r>
    </w:p>
    <w:p>
      <w:pPr>
        <w:pStyle w:val="Normal"/>
        <w:numPr>
          <w:ilvl w:val="2"/>
          <w:numId w:val="4"/>
        </w:numPr>
        <w:spacing w:lineRule="auto" w:line="276" w:before="120" w:after="120"/>
        <w:ind w:left="1134" w:hanging="0"/>
        <w:jc w:val="both"/>
        <w:rPr>
          <w:rFonts w:ascii="Times New Roman" w:hAnsi="Times New Roman"/>
          <w:sz w:val="22"/>
          <w:szCs w:val="22"/>
        </w:rPr>
      </w:pPr>
      <w:r>
        <w:rPr>
          <w:rFonts w:eastAsia="Century Gothic" w:cs="Century Gothic" w:ascii="Times New Roman" w:hAnsi="Times New Roman"/>
          <w:sz w:val="22"/>
          <w:szCs w:val="22"/>
        </w:rPr>
        <w:t>Na forma do §8º do artigo 5 da Lei 8666/93, o recebimento de material de valor superior a R$ 176.000,00 (cento e setenta e seis mil reais) será confiado a uma comissão de, no mínimo, 3 (três) membros, designados pela autoridade competente.</w:t>
      </w:r>
    </w:p>
    <w:p>
      <w:pPr>
        <w:pStyle w:val="Normal"/>
        <w:numPr>
          <w:ilvl w:val="1"/>
          <w:numId w:val="4"/>
        </w:numPr>
        <w:spacing w:lineRule="auto" w:line="276" w:before="120" w:after="120"/>
        <w:ind w:left="425" w:hanging="0"/>
        <w:jc w:val="both"/>
        <w:rPr>
          <w:rFonts w:ascii="Times New Roman" w:hAnsi="Times New Roman"/>
          <w:sz w:val="22"/>
          <w:szCs w:val="22"/>
        </w:rPr>
      </w:pPr>
      <w:r>
        <w:rPr>
          <w:rFonts w:eastAsia="Century Gothic" w:cs="Century Gothic" w:ascii="Times New Roman" w:hAnsi="Times New Roman"/>
          <w:color w:val="000000"/>
          <w:sz w:val="22"/>
          <w:szCs w:val="22"/>
        </w:rPr>
        <w:t>A fiscalização de que trata este item não exclui nem reduz a responsabilidade da Contratada, inclusive perante terceiros, por qualquer irregularidade, ainda que resultante de imperfeições técnicas ou vícios redibitórios, e, na ocorrência desta, não implica em corresponsabilidade da Administração ou de seus agentes e prepostos, de conformidade com o art. 70 da Lei nº 8.666, de 1993.</w:t>
      </w:r>
    </w:p>
    <w:p>
      <w:pPr>
        <w:pStyle w:val="Normal"/>
        <w:numPr>
          <w:ilvl w:val="1"/>
          <w:numId w:val="4"/>
        </w:numPr>
        <w:spacing w:lineRule="auto" w:line="276" w:before="120" w:after="120"/>
        <w:ind w:left="425" w:hanging="0"/>
        <w:jc w:val="both"/>
        <w:rPr>
          <w:rFonts w:ascii="Times New Roman" w:hAnsi="Times New Roman"/>
          <w:sz w:val="22"/>
          <w:szCs w:val="22"/>
        </w:rPr>
      </w:pPr>
      <w:r>
        <w:rPr>
          <w:rFonts w:eastAsia="Century Gothic" w:cs="Century Gothic" w:ascii="Times New Roman" w:hAnsi="Times New Roman"/>
          <w:color w:val="000000"/>
          <w:sz w:val="22"/>
          <w:szCs w:val="22"/>
        </w:rPr>
        <w:t>O representante da Administração anotará em registro próprio todas as ocorrências relacionadas com a execução do contrato, indicando dia, mês e ano, bem como o nome dos funcionários eventualmente envolvidos, determinando o que for necessário à regularização das falhas ou defeitos observados e encaminhando os apontamentos à autoridade competente para as providências cabíveis.</w:t>
      </w:r>
    </w:p>
    <w:p>
      <w:pPr>
        <w:pStyle w:val="Normal"/>
        <w:keepNext w:val="true"/>
        <w:keepLines/>
        <w:numPr>
          <w:ilvl w:val="0"/>
          <w:numId w:val="4"/>
        </w:numPr>
        <w:spacing w:lineRule="auto" w:line="276" w:before="480" w:after="120"/>
        <w:jc w:val="both"/>
        <w:rPr>
          <w:rFonts w:ascii="Times New Roman" w:hAnsi="Times New Roman"/>
          <w:sz w:val="22"/>
          <w:szCs w:val="22"/>
        </w:rPr>
      </w:pPr>
      <w:r>
        <w:rPr>
          <w:rFonts w:eastAsia="Century Gothic" w:cs="Century Gothic" w:ascii="Times New Roman" w:hAnsi="Times New Roman"/>
          <w:b/>
          <w:color w:val="000000"/>
          <w:sz w:val="22"/>
          <w:szCs w:val="22"/>
        </w:rPr>
        <w:t>DO PAGAMENTO</w:t>
      </w:r>
    </w:p>
    <w:p>
      <w:pPr>
        <w:pStyle w:val="Normal"/>
        <w:numPr>
          <w:ilvl w:val="1"/>
          <w:numId w:val="4"/>
        </w:numPr>
        <w:spacing w:lineRule="auto" w:line="276" w:before="120" w:after="120"/>
        <w:jc w:val="both"/>
        <w:rPr>
          <w:rFonts w:ascii="Times New Roman" w:hAnsi="Times New Roman"/>
          <w:sz w:val="22"/>
          <w:szCs w:val="22"/>
        </w:rPr>
      </w:pPr>
      <w:r>
        <w:rPr>
          <w:rFonts w:eastAsia="Century Gothic" w:cs="Century Gothic" w:ascii="Times New Roman" w:hAnsi="Times New Roman"/>
          <w:color w:val="000000"/>
          <w:sz w:val="22"/>
          <w:szCs w:val="22"/>
        </w:rPr>
        <w:t>O pagamento será realizado no prazo máximo de até 30 (trinta) dias, contados a partir do recebimento da Nota Fiscal ou Fatura, através de ordem bancária, para crédito em banco, agência e conta corrente indicados pelo contratado.</w:t>
      </w:r>
    </w:p>
    <w:p>
      <w:pPr>
        <w:pStyle w:val="Normal"/>
        <w:numPr>
          <w:ilvl w:val="2"/>
          <w:numId w:val="4"/>
        </w:numPr>
        <w:spacing w:lineRule="auto" w:line="276" w:before="120" w:after="0"/>
        <w:jc w:val="both"/>
        <w:rPr>
          <w:rFonts w:ascii="Times New Roman" w:hAnsi="Times New Roman"/>
          <w:sz w:val="22"/>
          <w:szCs w:val="22"/>
        </w:rPr>
      </w:pPr>
      <w:r>
        <w:rPr>
          <w:rFonts w:eastAsia="Century Gothic" w:cs="Century Gothic" w:ascii="Times New Roman" w:hAnsi="Times New Roman"/>
          <w:color w:val="000000"/>
          <w:sz w:val="22"/>
          <w:szCs w:val="22"/>
          <w:u w:val="single"/>
        </w:rPr>
        <w:t>Considera-se ocorrido o recebimento da nota fiscal ou fatura quando o órgão contratante atestar a execução do objeto do contrato.</w:t>
      </w:r>
    </w:p>
    <w:p>
      <w:pPr>
        <w:pStyle w:val="Normal"/>
        <w:numPr>
          <w:ilvl w:val="2"/>
          <w:numId w:val="4"/>
        </w:numPr>
        <w:spacing w:lineRule="auto" w:line="276" w:before="0" w:after="120"/>
        <w:jc w:val="both"/>
        <w:rPr>
          <w:rFonts w:ascii="Times New Roman" w:hAnsi="Times New Roman"/>
          <w:sz w:val="22"/>
          <w:szCs w:val="22"/>
        </w:rPr>
      </w:pPr>
      <w:r>
        <w:rPr>
          <w:rFonts w:eastAsia="Century Gothic" w:cs="Century Gothic" w:ascii="Times New Roman" w:hAnsi="Times New Roman"/>
          <w:color w:val="000000"/>
          <w:sz w:val="22"/>
          <w:szCs w:val="22"/>
        </w:rPr>
        <w:t>Havendo erro na apresentação da Nota Fiscal ou dos documentos pertinentes à contratação, ou, ainda, circunstância que impeça a liquidação da despesa, como, por exemplo, obrigação financeira pendente, decorrente de penalidade imposta ou inadimplência, o pagamento ficará sobrestado até que a Contratada providencie as medidas saneadoras. Nesta hipótese, o prazo para pagamento iniciar-se-á após a comprovação da regularização da situação, não acarretando qualquer ônus para a Contratante.</w:t>
      </w:r>
    </w:p>
    <w:p>
      <w:pPr>
        <w:pStyle w:val="Normal"/>
        <w:numPr>
          <w:ilvl w:val="1"/>
          <w:numId w:val="4"/>
        </w:numPr>
        <w:spacing w:lineRule="auto" w:line="276" w:before="120" w:after="120"/>
        <w:jc w:val="both"/>
        <w:rPr>
          <w:rFonts w:ascii="Times New Roman" w:hAnsi="Times New Roman"/>
          <w:sz w:val="22"/>
          <w:szCs w:val="22"/>
        </w:rPr>
      </w:pPr>
      <w:r>
        <w:rPr>
          <w:rFonts w:eastAsia="Century Gothic" w:cs="Century Gothic" w:ascii="Times New Roman" w:hAnsi="Times New Roman"/>
          <w:sz w:val="22"/>
          <w:szCs w:val="22"/>
        </w:rPr>
        <w:t>Será considerada data do pagamento o dia em que constar como emitida a ordem bancária para pagamento.</w:t>
      </w:r>
    </w:p>
    <w:p>
      <w:pPr>
        <w:pStyle w:val="Normal"/>
        <w:numPr>
          <w:ilvl w:val="1"/>
          <w:numId w:val="4"/>
        </w:numPr>
        <w:spacing w:lineRule="auto" w:line="276" w:before="120" w:after="120"/>
        <w:jc w:val="both"/>
        <w:rPr>
          <w:rFonts w:ascii="Times New Roman" w:hAnsi="Times New Roman"/>
          <w:sz w:val="22"/>
          <w:szCs w:val="22"/>
        </w:rPr>
      </w:pPr>
      <w:r>
        <w:rPr>
          <w:rFonts w:eastAsia="Century Gothic" w:cs="Century Gothic" w:ascii="Times New Roman" w:hAnsi="Times New Roman"/>
          <w:color w:val="000000"/>
          <w:sz w:val="22"/>
          <w:szCs w:val="22"/>
        </w:rPr>
        <w:t>Quando do pagamento, será efetuada a retenção tributária prevista na legislação aplicável.</w:t>
      </w:r>
    </w:p>
    <w:p>
      <w:pPr>
        <w:pStyle w:val="Normal"/>
        <w:numPr>
          <w:ilvl w:val="2"/>
          <w:numId w:val="4"/>
        </w:numPr>
        <w:tabs>
          <w:tab w:val="clear" w:pos="720"/>
          <w:tab w:val="left" w:pos="1440" w:leader="none"/>
        </w:tabs>
        <w:spacing w:lineRule="auto" w:line="276" w:before="120" w:after="120"/>
        <w:ind w:left="1134" w:hanging="0"/>
        <w:jc w:val="both"/>
        <w:rPr>
          <w:rFonts w:ascii="Times New Roman" w:hAnsi="Times New Roman"/>
          <w:sz w:val="22"/>
          <w:szCs w:val="22"/>
        </w:rPr>
      </w:pPr>
      <w:r>
        <w:rPr>
          <w:rFonts w:eastAsia="Century Gothic" w:cs="Century Gothic" w:ascii="Times New Roman" w:hAnsi="Times New Roman"/>
          <w:color w:val="000000"/>
          <w:sz w:val="22"/>
          <w:szCs w:val="22"/>
        </w:rPr>
        <w:t>A Contratada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r>
        <w:rPr>
          <w:rFonts w:eastAsia="Century Gothic" w:cs="Century Gothic" w:ascii="Times New Roman" w:hAnsi="Times New Roman"/>
          <w:sz w:val="22"/>
          <w:szCs w:val="22"/>
        </w:rPr>
        <w:t xml:space="preserve"> </w:t>
      </w:r>
    </w:p>
    <w:p>
      <w:pPr>
        <w:pStyle w:val="Normal"/>
        <w:numPr>
          <w:ilvl w:val="1"/>
          <w:numId w:val="4"/>
        </w:numPr>
        <w:spacing w:lineRule="auto" w:line="276" w:before="120" w:after="120"/>
        <w:ind w:left="425" w:hanging="0"/>
        <w:jc w:val="both"/>
        <w:rPr>
          <w:rFonts w:ascii="Times New Roman" w:hAnsi="Times New Roman"/>
          <w:sz w:val="22"/>
          <w:szCs w:val="22"/>
        </w:rPr>
      </w:pPr>
      <w:r>
        <w:rPr>
          <w:rFonts w:eastAsia="Century Gothic" w:cs="Century Gothic" w:ascii="Times New Roman" w:hAnsi="Times New Roman"/>
          <w:color w:val="000000"/>
          <w:sz w:val="22"/>
          <w:szCs w:val="22"/>
        </w:rPr>
        <w:t>Nos casos de eventuais atrasos de pagamento, desde que a Contratada não tenha concorrido, de alguma forma, para tanto, o valor devido deverá ser acrescido de atualização financeira, e sua apuração se fará desde a data de seu vencimento até a data do efetivo pagamento, em que os juros de mora serão calculados à taxa de 0,5% (meio por cento) ao mês, ou 6% (seis por cento) ao ano, mediante aplicação das seguintes fórmulas:</w:t>
      </w:r>
    </w:p>
    <w:p>
      <w:pPr>
        <w:pStyle w:val="Normal"/>
        <w:tabs>
          <w:tab w:val="clear" w:pos="720"/>
          <w:tab w:val="left" w:pos="1701" w:leader="none"/>
        </w:tabs>
        <w:spacing w:lineRule="auto" w:line="276" w:before="120" w:after="120"/>
        <w:ind w:left="425" w:hanging="0"/>
        <w:jc w:val="both"/>
        <w:rPr>
          <w:rFonts w:ascii="Times New Roman" w:hAnsi="Times New Roman"/>
          <w:sz w:val="22"/>
          <w:szCs w:val="22"/>
        </w:rPr>
      </w:pPr>
      <w:r>
        <w:rPr>
          <w:rFonts w:eastAsia="Century Gothic" w:cs="Century Gothic" w:ascii="Times New Roman" w:hAnsi="Times New Roman"/>
          <w:color w:val="000000"/>
          <w:sz w:val="22"/>
          <w:szCs w:val="22"/>
        </w:rPr>
        <w:t>EM = I x N x VP, sendo:</w:t>
      </w:r>
    </w:p>
    <w:p>
      <w:pPr>
        <w:pStyle w:val="Normal"/>
        <w:tabs>
          <w:tab w:val="clear" w:pos="720"/>
          <w:tab w:val="left" w:pos="1701" w:leader="none"/>
        </w:tabs>
        <w:spacing w:lineRule="auto" w:line="276" w:before="120" w:after="120"/>
        <w:ind w:left="425" w:hanging="0"/>
        <w:jc w:val="both"/>
        <w:rPr>
          <w:rFonts w:ascii="Times New Roman" w:hAnsi="Times New Roman"/>
          <w:sz w:val="22"/>
          <w:szCs w:val="22"/>
        </w:rPr>
      </w:pPr>
      <w:r>
        <w:rPr>
          <w:rFonts w:eastAsia="Century Gothic" w:cs="Century Gothic" w:ascii="Times New Roman" w:hAnsi="Times New Roman"/>
          <w:color w:val="000000"/>
          <w:sz w:val="22"/>
          <w:szCs w:val="22"/>
        </w:rPr>
        <w:t>EM = Encargos moratórios;</w:t>
      </w:r>
    </w:p>
    <w:p>
      <w:pPr>
        <w:pStyle w:val="Normal"/>
        <w:tabs>
          <w:tab w:val="clear" w:pos="720"/>
          <w:tab w:val="left" w:pos="1701" w:leader="none"/>
        </w:tabs>
        <w:spacing w:lineRule="auto" w:line="276" w:before="120" w:after="120"/>
        <w:ind w:left="425" w:hanging="0"/>
        <w:jc w:val="both"/>
        <w:rPr>
          <w:rFonts w:ascii="Times New Roman" w:hAnsi="Times New Roman"/>
          <w:sz w:val="22"/>
          <w:szCs w:val="22"/>
        </w:rPr>
      </w:pPr>
      <w:r>
        <w:rPr>
          <w:rFonts w:eastAsia="Century Gothic" w:cs="Century Gothic" w:ascii="Times New Roman" w:hAnsi="Times New Roman"/>
          <w:color w:val="000000"/>
          <w:sz w:val="22"/>
          <w:szCs w:val="22"/>
        </w:rPr>
        <w:t>N = Número de dias entre a data prevista para o pagamento e a do efetivo pagamento;</w:t>
      </w:r>
    </w:p>
    <w:p>
      <w:pPr>
        <w:pStyle w:val="Normal"/>
        <w:tabs>
          <w:tab w:val="clear" w:pos="720"/>
          <w:tab w:val="left" w:pos="1701" w:leader="none"/>
        </w:tabs>
        <w:spacing w:lineRule="auto" w:line="276" w:before="120" w:after="120"/>
        <w:ind w:left="425" w:hanging="0"/>
        <w:jc w:val="both"/>
        <w:rPr>
          <w:rFonts w:ascii="Times New Roman" w:hAnsi="Times New Roman"/>
          <w:sz w:val="22"/>
          <w:szCs w:val="22"/>
        </w:rPr>
      </w:pPr>
      <w:r>
        <w:rPr>
          <w:rFonts w:eastAsia="Century Gothic" w:cs="Century Gothic" w:ascii="Times New Roman" w:hAnsi="Times New Roman"/>
          <w:color w:val="000000"/>
          <w:sz w:val="22"/>
          <w:szCs w:val="22"/>
        </w:rPr>
        <w:t>VP = Valor da parcela a ser paga.</w:t>
      </w:r>
    </w:p>
    <w:p>
      <w:pPr>
        <w:pStyle w:val="Normal"/>
        <w:tabs>
          <w:tab w:val="clear" w:pos="720"/>
          <w:tab w:val="left" w:pos="1701" w:leader="none"/>
        </w:tabs>
        <w:spacing w:lineRule="auto" w:line="276" w:before="120" w:after="120"/>
        <w:ind w:left="425" w:hanging="0"/>
        <w:jc w:val="both"/>
        <w:rPr>
          <w:rFonts w:ascii="Times New Roman" w:hAnsi="Times New Roman"/>
          <w:sz w:val="22"/>
          <w:szCs w:val="22"/>
        </w:rPr>
      </w:pPr>
      <w:r>
        <w:rPr>
          <w:rFonts w:eastAsia="Century Gothic" w:cs="Century Gothic" w:ascii="Times New Roman" w:hAnsi="Times New Roman"/>
          <w:color w:val="000000"/>
          <w:sz w:val="22"/>
          <w:szCs w:val="22"/>
        </w:rPr>
        <w:t>I = Índice de compensação financeira = 0,00016438, assim apurado:</w:t>
      </w:r>
    </w:p>
    <w:tbl>
      <w:tblPr>
        <w:tblStyle w:val="a3"/>
        <w:tblW w:w="8862" w:type="dxa"/>
        <w:jc w:val="left"/>
        <w:tblInd w:w="425" w:type="dxa"/>
        <w:tblLayout w:type="fixed"/>
        <w:tblCellMar>
          <w:top w:w="0" w:type="dxa"/>
          <w:left w:w="108" w:type="dxa"/>
          <w:bottom w:w="0" w:type="dxa"/>
          <w:right w:w="108" w:type="dxa"/>
        </w:tblCellMar>
        <w:tblLook w:firstRow="0" w:noVBand="0" w:lastRow="0" w:firstColumn="0" w:lastColumn="0" w:noHBand="0" w:val="0000"/>
      </w:tblPr>
      <w:tblGrid>
        <w:gridCol w:w="2212"/>
        <w:gridCol w:w="590"/>
        <w:gridCol w:w="1276"/>
        <w:gridCol w:w="4783"/>
      </w:tblGrid>
      <w:tr>
        <w:trPr/>
        <w:tc>
          <w:tcPr>
            <w:tcW w:w="2212" w:type="dxa"/>
            <w:tcBorders/>
            <w:vAlign w:val="center"/>
          </w:tcPr>
          <w:p>
            <w:pPr>
              <w:pStyle w:val="Normal"/>
              <w:widowControl w:val="false"/>
              <w:tabs>
                <w:tab w:val="clear" w:pos="720"/>
                <w:tab w:val="left" w:pos="1701" w:leader="none"/>
              </w:tabs>
              <w:jc w:val="center"/>
              <w:rPr>
                <w:rFonts w:ascii="Times New Roman" w:hAnsi="Times New Roman"/>
                <w:sz w:val="22"/>
                <w:szCs w:val="22"/>
              </w:rPr>
            </w:pPr>
            <w:r>
              <w:rPr>
                <w:rFonts w:eastAsia="Century Gothic" w:cs="Century Gothic" w:ascii="Times New Roman" w:hAnsi="Times New Roman"/>
                <w:color w:val="000000"/>
                <w:sz w:val="22"/>
                <w:szCs w:val="22"/>
              </w:rPr>
              <w:t>I = (TX)</w:t>
            </w:r>
          </w:p>
        </w:tc>
        <w:tc>
          <w:tcPr>
            <w:tcW w:w="590" w:type="dxa"/>
            <w:tcBorders/>
            <w:vAlign w:val="center"/>
          </w:tcPr>
          <w:p>
            <w:pPr>
              <w:pStyle w:val="Normal"/>
              <w:widowControl w:val="false"/>
              <w:tabs>
                <w:tab w:val="clear" w:pos="720"/>
                <w:tab w:val="left" w:pos="1701" w:leader="none"/>
              </w:tabs>
              <w:rPr>
                <w:rFonts w:ascii="Times New Roman" w:hAnsi="Times New Roman"/>
                <w:sz w:val="22"/>
                <w:szCs w:val="22"/>
              </w:rPr>
            </w:pPr>
            <w:r>
              <w:rPr>
                <w:rFonts w:eastAsia="Century Gothic" w:cs="Century Gothic" w:ascii="Times New Roman" w:hAnsi="Times New Roman"/>
                <w:color w:val="000000"/>
                <w:sz w:val="22"/>
                <w:szCs w:val="22"/>
              </w:rPr>
              <w:t xml:space="preserve">I = </w:t>
            </w:r>
          </w:p>
        </w:tc>
        <w:tc>
          <w:tcPr>
            <w:tcW w:w="1276" w:type="dxa"/>
            <w:tcBorders>
              <w:bottom w:val="single" w:sz="4" w:space="0" w:color="000000"/>
            </w:tcBorders>
          </w:tcPr>
          <w:p>
            <w:pPr>
              <w:pStyle w:val="Normal"/>
              <w:widowControl w:val="false"/>
              <w:tabs>
                <w:tab w:val="clear" w:pos="720"/>
                <w:tab w:val="left" w:pos="1701" w:leader="none"/>
              </w:tabs>
              <w:jc w:val="center"/>
              <w:rPr>
                <w:rFonts w:ascii="Times New Roman" w:hAnsi="Times New Roman"/>
                <w:sz w:val="22"/>
                <w:szCs w:val="22"/>
              </w:rPr>
            </w:pPr>
            <w:r>
              <w:rPr>
                <w:rFonts w:eastAsia="Century Gothic" w:cs="Century Gothic" w:ascii="Times New Roman" w:hAnsi="Times New Roman"/>
                <w:color w:val="000000"/>
                <w:sz w:val="22"/>
                <w:szCs w:val="22"/>
              </w:rPr>
              <w:t>( 6 / 100 )</w:t>
            </w:r>
          </w:p>
        </w:tc>
        <w:tc>
          <w:tcPr>
            <w:tcW w:w="4783" w:type="dxa"/>
            <w:tcBorders/>
            <w:vAlign w:val="center"/>
          </w:tcPr>
          <w:p>
            <w:pPr>
              <w:pStyle w:val="Normal"/>
              <w:widowControl w:val="false"/>
              <w:tabs>
                <w:tab w:val="clear" w:pos="720"/>
                <w:tab w:val="left" w:pos="1701" w:leader="none"/>
              </w:tabs>
              <w:ind w:left="742" w:hanging="0"/>
              <w:rPr>
                <w:rFonts w:ascii="Times New Roman" w:hAnsi="Times New Roman"/>
                <w:sz w:val="22"/>
                <w:szCs w:val="22"/>
              </w:rPr>
            </w:pPr>
            <w:r>
              <w:rPr>
                <w:rFonts w:eastAsia="Century Gothic" w:cs="Century Gothic" w:ascii="Times New Roman" w:hAnsi="Times New Roman"/>
                <w:color w:val="000000"/>
                <w:sz w:val="22"/>
                <w:szCs w:val="22"/>
              </w:rPr>
              <w:t>I = 0,00016438</w:t>
            </w:r>
          </w:p>
          <w:p>
            <w:pPr>
              <w:pStyle w:val="Normal"/>
              <w:widowControl w:val="false"/>
              <w:tabs>
                <w:tab w:val="clear" w:pos="720"/>
                <w:tab w:val="left" w:pos="1701" w:leader="none"/>
              </w:tabs>
              <w:ind w:left="742" w:hanging="0"/>
              <w:rPr>
                <w:rFonts w:ascii="Times New Roman" w:hAnsi="Times New Roman"/>
                <w:sz w:val="22"/>
                <w:szCs w:val="22"/>
              </w:rPr>
            </w:pPr>
            <w:r>
              <w:rPr>
                <w:rFonts w:eastAsia="Century Gothic" w:cs="Century Gothic" w:ascii="Times New Roman" w:hAnsi="Times New Roman"/>
                <w:color w:val="000000"/>
                <w:sz w:val="22"/>
                <w:szCs w:val="22"/>
              </w:rPr>
              <w:t>TX = Percentual da taxa anual = 6%</w:t>
            </w:r>
          </w:p>
        </w:tc>
      </w:tr>
    </w:tbl>
    <w:p>
      <w:pPr>
        <w:pStyle w:val="Normal"/>
        <w:rPr>
          <w:rFonts w:ascii="Times New Roman" w:hAnsi="Times New Roman"/>
          <w:sz w:val="22"/>
          <w:szCs w:val="22"/>
        </w:rPr>
      </w:pPr>
      <w:r>
        <w:rPr>
          <w:rFonts w:eastAsia="Century Gothic" w:cs="Century Gothic" w:ascii="Times New Roman" w:hAnsi="Times New Roman"/>
          <w:sz w:val="22"/>
          <w:szCs w:val="22"/>
        </w:rPr>
        <w:t xml:space="preserve">                                                            </w:t>
      </w:r>
      <w:r>
        <w:rPr>
          <w:rFonts w:eastAsia="Century Gothic" w:cs="Century Gothic" w:ascii="Times New Roman" w:hAnsi="Times New Roman"/>
          <w:sz w:val="22"/>
          <w:szCs w:val="22"/>
        </w:rPr>
        <w:t>365</w:t>
      </w:r>
    </w:p>
    <w:p>
      <w:pPr>
        <w:pStyle w:val="Normal"/>
        <w:keepNext w:val="true"/>
        <w:keepLines/>
        <w:numPr>
          <w:ilvl w:val="0"/>
          <w:numId w:val="4"/>
        </w:numPr>
        <w:spacing w:lineRule="auto" w:line="276" w:before="480" w:after="120"/>
        <w:jc w:val="both"/>
        <w:rPr>
          <w:rFonts w:ascii="Times New Roman" w:hAnsi="Times New Roman"/>
          <w:sz w:val="22"/>
          <w:szCs w:val="22"/>
        </w:rPr>
      </w:pPr>
      <w:r>
        <w:rPr>
          <w:rFonts w:eastAsia="Century Gothic" w:cs="Century Gothic" w:ascii="Times New Roman" w:hAnsi="Times New Roman"/>
          <w:b/>
          <w:color w:val="000000"/>
          <w:sz w:val="22"/>
          <w:szCs w:val="22"/>
        </w:rPr>
        <w:t xml:space="preserve">DO REAJUSTE </w:t>
      </w:r>
    </w:p>
    <w:p>
      <w:pPr>
        <w:pStyle w:val="Normal"/>
        <w:numPr>
          <w:ilvl w:val="1"/>
          <w:numId w:val="4"/>
        </w:numPr>
        <w:spacing w:lineRule="auto" w:line="276" w:before="120" w:after="120"/>
        <w:ind w:left="425" w:hanging="0"/>
        <w:jc w:val="both"/>
        <w:rPr>
          <w:rFonts w:ascii="Times New Roman" w:hAnsi="Times New Roman"/>
          <w:sz w:val="22"/>
          <w:szCs w:val="22"/>
        </w:rPr>
      </w:pPr>
      <w:r>
        <w:rPr>
          <w:rFonts w:eastAsia="Century Gothic" w:cs="Century Gothic" w:ascii="Times New Roman" w:hAnsi="Times New Roman"/>
          <w:sz w:val="22"/>
          <w:szCs w:val="22"/>
        </w:rPr>
        <w:t>Os preços inicialmente contratados são fixos e irreajustáveis no prazo de um ano contado da data limite para a apresentação das propostas.</w:t>
      </w:r>
    </w:p>
    <w:p>
      <w:pPr>
        <w:pStyle w:val="Normal"/>
        <w:numPr>
          <w:ilvl w:val="2"/>
          <w:numId w:val="4"/>
        </w:numPr>
        <w:spacing w:lineRule="auto" w:line="276" w:before="120" w:after="120"/>
        <w:jc w:val="both"/>
        <w:rPr>
          <w:rFonts w:ascii="Times New Roman" w:hAnsi="Times New Roman"/>
          <w:sz w:val="22"/>
          <w:szCs w:val="22"/>
        </w:rPr>
      </w:pPr>
      <w:r>
        <w:rPr>
          <w:rFonts w:eastAsia="Century Gothic" w:cs="Century Gothic" w:ascii="Times New Roman" w:hAnsi="Times New Roman"/>
          <w:color w:val="000000"/>
          <w:sz w:val="22"/>
          <w:szCs w:val="22"/>
        </w:rPr>
        <w:t xml:space="preserve">Após o interregno de um ano, e independentemente de pedido da CONTRATADA, os preços iniciais serão reajustados, mediante a aplicação, pela CONTRATANTE, do índice IPCA/IBGE exclusivamente para as obrigações iniciadas e concluídas após a ocorrência da anualidade. </w:t>
      </w:r>
    </w:p>
    <w:p>
      <w:pPr>
        <w:pStyle w:val="Normal"/>
        <w:numPr>
          <w:ilvl w:val="1"/>
          <w:numId w:val="4"/>
        </w:numPr>
        <w:spacing w:lineRule="auto" w:line="276" w:before="120" w:after="120"/>
        <w:ind w:left="425" w:hanging="0"/>
        <w:jc w:val="both"/>
        <w:rPr>
          <w:rFonts w:ascii="Times New Roman" w:hAnsi="Times New Roman"/>
          <w:sz w:val="22"/>
          <w:szCs w:val="22"/>
        </w:rPr>
      </w:pPr>
      <w:r>
        <w:rPr>
          <w:rFonts w:eastAsia="Century Gothic" w:cs="Century Gothic" w:ascii="Times New Roman" w:hAnsi="Times New Roman"/>
          <w:sz w:val="22"/>
          <w:szCs w:val="22"/>
        </w:rPr>
        <w:t>Nos reajustes subsequentes ao primeiro, o interregno mínimo de um ano será contado a partir dos efeitos financeiros do último reajuste.</w:t>
      </w:r>
    </w:p>
    <w:p>
      <w:pPr>
        <w:pStyle w:val="Normal"/>
        <w:numPr>
          <w:ilvl w:val="1"/>
          <w:numId w:val="4"/>
        </w:numPr>
        <w:spacing w:lineRule="auto" w:line="276" w:before="120" w:after="120"/>
        <w:ind w:left="425" w:hanging="0"/>
        <w:jc w:val="both"/>
        <w:rPr>
          <w:rFonts w:ascii="Times New Roman" w:hAnsi="Times New Roman"/>
          <w:sz w:val="22"/>
          <w:szCs w:val="22"/>
        </w:rPr>
      </w:pPr>
      <w:r>
        <w:rPr>
          <w:rFonts w:eastAsia="Century Gothic" w:cs="Century Gothic" w:ascii="Times New Roman" w:hAnsi="Times New Roman"/>
          <w:sz w:val="22"/>
          <w:szCs w:val="22"/>
        </w:rPr>
        <w:t xml:space="preserve">No caso de atraso ou não divulgação do índice de reajustamento, o CONTRATANTE pagará à CONTRATADA a importância calculada pela última variação conhecida, liquidando a diferença correspondente tão logo seja divulgado o índice definitivo. </w:t>
      </w:r>
    </w:p>
    <w:p>
      <w:pPr>
        <w:pStyle w:val="Normal"/>
        <w:numPr>
          <w:ilvl w:val="1"/>
          <w:numId w:val="4"/>
        </w:numPr>
        <w:spacing w:lineRule="auto" w:line="276" w:before="120" w:after="120"/>
        <w:ind w:left="425" w:hanging="0"/>
        <w:jc w:val="both"/>
        <w:rPr>
          <w:rFonts w:ascii="Times New Roman" w:hAnsi="Times New Roman"/>
          <w:sz w:val="22"/>
          <w:szCs w:val="22"/>
        </w:rPr>
      </w:pPr>
      <w:r>
        <w:rPr>
          <w:rFonts w:eastAsia="Century Gothic" w:cs="Century Gothic" w:ascii="Times New Roman" w:hAnsi="Times New Roman"/>
          <w:sz w:val="22"/>
          <w:szCs w:val="22"/>
        </w:rPr>
        <w:t>Nas aferições finais, o índice utilizado para reajuste será, obrigatoriamente, o definitivo.</w:t>
      </w:r>
    </w:p>
    <w:p>
      <w:pPr>
        <w:pStyle w:val="Normal"/>
        <w:numPr>
          <w:ilvl w:val="1"/>
          <w:numId w:val="4"/>
        </w:numPr>
        <w:spacing w:lineRule="auto" w:line="276" w:before="120" w:after="120"/>
        <w:ind w:left="425" w:hanging="0"/>
        <w:jc w:val="both"/>
        <w:rPr>
          <w:rFonts w:ascii="Times New Roman" w:hAnsi="Times New Roman"/>
          <w:sz w:val="22"/>
          <w:szCs w:val="22"/>
        </w:rPr>
      </w:pPr>
      <w:r>
        <w:rPr>
          <w:rFonts w:eastAsia="Century Gothic" w:cs="Century Gothic" w:ascii="Times New Roman" w:hAnsi="Times New Roman"/>
          <w:sz w:val="22"/>
          <w:szCs w:val="22"/>
        </w:rPr>
        <w:t>Caso o índice estabelecido para reajustamento venha a ser extinto ou de qualquer forma não possa mais ser utilizado, será adotado, em substituição, o que vier a ser determinado pela legislação então em vigor.</w:t>
      </w:r>
    </w:p>
    <w:p>
      <w:pPr>
        <w:pStyle w:val="Normal"/>
        <w:numPr>
          <w:ilvl w:val="1"/>
          <w:numId w:val="4"/>
        </w:numPr>
        <w:spacing w:lineRule="auto" w:line="276" w:before="120" w:after="120"/>
        <w:ind w:left="425" w:hanging="0"/>
        <w:jc w:val="both"/>
        <w:rPr>
          <w:rFonts w:ascii="Times New Roman" w:hAnsi="Times New Roman"/>
          <w:sz w:val="22"/>
          <w:szCs w:val="22"/>
        </w:rPr>
      </w:pPr>
      <w:r>
        <w:rPr>
          <w:rFonts w:eastAsia="Century Gothic" w:cs="Century Gothic" w:ascii="Times New Roman" w:hAnsi="Times New Roman"/>
          <w:sz w:val="22"/>
          <w:szCs w:val="22"/>
        </w:rPr>
        <w:t xml:space="preserve">Na ausência de previsão legal quanto ao índice substituto, as partes elegerão novo índice oficial, para reajustamento do preço do valor remanescente, por meio de termo aditivo. </w:t>
      </w:r>
    </w:p>
    <w:p>
      <w:pPr>
        <w:pStyle w:val="Normal"/>
        <w:numPr>
          <w:ilvl w:val="1"/>
          <w:numId w:val="4"/>
        </w:numPr>
        <w:spacing w:lineRule="auto" w:line="276" w:before="120" w:after="120"/>
        <w:ind w:left="425" w:hanging="0"/>
        <w:jc w:val="both"/>
        <w:rPr>
          <w:rFonts w:ascii="Times New Roman" w:hAnsi="Times New Roman"/>
          <w:sz w:val="22"/>
          <w:szCs w:val="22"/>
        </w:rPr>
      </w:pPr>
      <w:r>
        <w:rPr>
          <w:rFonts w:eastAsia="Century Gothic" w:cs="Century Gothic" w:ascii="Times New Roman" w:hAnsi="Times New Roman"/>
          <w:sz w:val="22"/>
          <w:szCs w:val="22"/>
        </w:rPr>
        <w:t>O reajuste será realizado por apostilamento.</w:t>
      </w:r>
    </w:p>
    <w:p>
      <w:pPr>
        <w:pStyle w:val="Normal"/>
        <w:spacing w:lineRule="auto" w:line="276" w:before="0" w:after="120"/>
        <w:ind w:left="425" w:hanging="0"/>
        <w:jc w:val="both"/>
        <w:rPr>
          <w:rFonts w:ascii="Times New Roman" w:hAnsi="Times New Roman" w:eastAsia="Century Gothic" w:cs="Century Gothic"/>
          <w:color w:val="000000"/>
          <w:sz w:val="22"/>
          <w:szCs w:val="22"/>
        </w:rPr>
      </w:pPr>
      <w:r>
        <w:rPr>
          <w:rFonts w:eastAsia="Century Gothic" w:cs="Century Gothic" w:ascii="Times New Roman" w:hAnsi="Times New Roman"/>
          <w:color w:val="000000"/>
          <w:sz w:val="22"/>
          <w:szCs w:val="22"/>
        </w:rPr>
      </w:r>
    </w:p>
    <w:p>
      <w:pPr>
        <w:pStyle w:val="Normal"/>
        <w:keepNext w:val="true"/>
        <w:keepLines/>
        <w:spacing w:lineRule="auto" w:line="276" w:before="0" w:after="120"/>
        <w:ind w:left="1070" w:hanging="0"/>
        <w:jc w:val="both"/>
        <w:rPr>
          <w:rFonts w:ascii="Times New Roman" w:hAnsi="Times New Roman"/>
          <w:sz w:val="22"/>
          <w:szCs w:val="22"/>
        </w:rPr>
      </w:pPr>
      <w:sdt>
        <w:sdtPr/>
        <w:sdtContent>
          <w:r>
            <w:rPr/>
          </w:r>
          <w:r>
            <w:rPr/>
          </w:r>
        </w:sdtContent>
      </w:sdt>
      <w:bookmarkStart w:id="3" w:name="_heading=h.1fob9te"/>
    </w:p>
    <w:p>
      <w:pPr>
        <w:pStyle w:val="Normal"/>
        <w:keepNext w:val="true"/>
        <w:keepLines/>
        <w:numPr>
          <w:ilvl w:val="0"/>
          <w:numId w:val="4"/>
        </w:numPr>
        <w:spacing w:lineRule="auto" w:line="276" w:before="480" w:after="120"/>
        <w:ind w:left="357" w:hanging="357"/>
        <w:jc w:val="both"/>
        <w:rPr>
          <w:rFonts w:ascii="Times New Roman" w:hAnsi="Times New Roman"/>
          <w:sz w:val="22"/>
          <w:szCs w:val="22"/>
        </w:rPr>
      </w:pPr>
      <w:sdt>
        <w:sdtPr/>
        <w:sdtContent>
          <w:bookmarkEnd w:id="3"/>
          <w:r>
            <w:rPr/>
          </w:r>
          <w:r>
            <w:rPr/>
          </w:r>
        </w:sdtContent>
      </w:sdt>
      <w:r>
        <w:rPr>
          <w:rFonts w:eastAsia="Century Gothic" w:cs="Century Gothic" w:ascii="Times New Roman" w:hAnsi="Times New Roman"/>
          <w:b/>
          <w:color w:val="000000"/>
          <w:sz w:val="22"/>
          <w:szCs w:val="22"/>
        </w:rPr>
        <w:t>DAS SANÇÕES ADMINISTRATIVAS</w:t>
      </w:r>
    </w:p>
    <w:p>
      <w:pPr>
        <w:pStyle w:val="ListParagraph"/>
        <w:numPr>
          <w:ilvl w:val="1"/>
          <w:numId w:val="4"/>
        </w:numPr>
        <w:spacing w:lineRule="auto" w:line="276" w:before="120" w:after="120"/>
        <w:contextualSpacing/>
        <w:jc w:val="both"/>
        <w:rPr>
          <w:rFonts w:ascii="Times New Roman" w:hAnsi="Times New Roman"/>
          <w:sz w:val="22"/>
          <w:szCs w:val="22"/>
        </w:rPr>
      </w:pPr>
      <w:r>
        <w:rPr>
          <w:rFonts w:eastAsia="Century Gothic" w:cs="Century Gothic" w:ascii="Times New Roman" w:hAnsi="Times New Roman"/>
          <w:sz w:val="22"/>
          <w:szCs w:val="22"/>
        </w:rPr>
        <w:t>Comete infração administrativa nos termos da Lei nº 10.520, de 2002, a Contratada que:</w:t>
      </w:r>
    </w:p>
    <w:p>
      <w:pPr>
        <w:pStyle w:val="Normal"/>
        <w:numPr>
          <w:ilvl w:val="2"/>
          <w:numId w:val="2"/>
        </w:numPr>
        <w:spacing w:lineRule="auto" w:line="276" w:before="120" w:after="120"/>
        <w:ind w:left="1224" w:right="-30" w:hanging="504"/>
        <w:jc w:val="both"/>
        <w:rPr>
          <w:rFonts w:ascii="Times New Roman" w:hAnsi="Times New Roman"/>
          <w:sz w:val="22"/>
          <w:szCs w:val="22"/>
        </w:rPr>
      </w:pPr>
      <w:r>
        <w:rPr>
          <w:rFonts w:eastAsia="Century Gothic" w:cs="Century Gothic" w:ascii="Times New Roman" w:hAnsi="Times New Roman"/>
          <w:color w:val="000000"/>
          <w:sz w:val="22"/>
          <w:szCs w:val="22"/>
        </w:rPr>
        <w:t>Falhar na execução do contrato, pela inexecução, total ou parcial, de quaisquer das obrigações assumidas na contratação;</w:t>
      </w:r>
    </w:p>
    <w:p>
      <w:pPr>
        <w:pStyle w:val="Normal"/>
        <w:numPr>
          <w:ilvl w:val="2"/>
          <w:numId w:val="2"/>
        </w:numPr>
        <w:spacing w:lineRule="auto" w:line="276" w:before="120" w:after="120"/>
        <w:ind w:left="1224" w:right="-30" w:hanging="504"/>
        <w:jc w:val="both"/>
        <w:rPr>
          <w:rFonts w:ascii="Times New Roman" w:hAnsi="Times New Roman"/>
          <w:sz w:val="22"/>
          <w:szCs w:val="22"/>
        </w:rPr>
      </w:pPr>
      <w:r>
        <w:rPr>
          <w:rFonts w:eastAsia="Century Gothic" w:cs="Century Gothic" w:ascii="Times New Roman" w:hAnsi="Times New Roman"/>
          <w:color w:val="000000"/>
          <w:sz w:val="22"/>
          <w:szCs w:val="22"/>
        </w:rPr>
        <w:t>Ensejar o retardamento da execução do objeto;</w:t>
      </w:r>
    </w:p>
    <w:p>
      <w:pPr>
        <w:pStyle w:val="Normal"/>
        <w:numPr>
          <w:ilvl w:val="2"/>
          <w:numId w:val="2"/>
        </w:numPr>
        <w:spacing w:lineRule="auto" w:line="276" w:before="120" w:after="120"/>
        <w:ind w:left="1224" w:right="-30" w:hanging="504"/>
        <w:jc w:val="both"/>
        <w:rPr>
          <w:rFonts w:ascii="Times New Roman" w:hAnsi="Times New Roman"/>
          <w:sz w:val="22"/>
          <w:szCs w:val="22"/>
        </w:rPr>
      </w:pPr>
      <w:r>
        <w:rPr>
          <w:rFonts w:eastAsia="Century Gothic" w:cs="Century Gothic" w:ascii="Times New Roman" w:hAnsi="Times New Roman"/>
          <w:color w:val="000000"/>
          <w:sz w:val="22"/>
          <w:szCs w:val="22"/>
        </w:rPr>
        <w:t>Fraudar na execução do contrato;</w:t>
      </w:r>
    </w:p>
    <w:p>
      <w:pPr>
        <w:pStyle w:val="Normal"/>
        <w:numPr>
          <w:ilvl w:val="2"/>
          <w:numId w:val="2"/>
        </w:numPr>
        <w:spacing w:lineRule="auto" w:line="276" w:before="120" w:after="120"/>
        <w:ind w:left="1224" w:right="-30" w:hanging="504"/>
        <w:jc w:val="both"/>
        <w:rPr>
          <w:rFonts w:ascii="Times New Roman" w:hAnsi="Times New Roman"/>
          <w:sz w:val="22"/>
          <w:szCs w:val="22"/>
        </w:rPr>
      </w:pPr>
      <w:r>
        <w:rPr>
          <w:rFonts w:eastAsia="Century Gothic" w:cs="Century Gothic" w:ascii="Times New Roman" w:hAnsi="Times New Roman"/>
          <w:color w:val="000000"/>
          <w:sz w:val="22"/>
          <w:szCs w:val="22"/>
        </w:rPr>
        <w:t>Comportar-se de modo inidôneo; ou</w:t>
      </w:r>
    </w:p>
    <w:p>
      <w:pPr>
        <w:pStyle w:val="Normal"/>
        <w:numPr>
          <w:ilvl w:val="2"/>
          <w:numId w:val="2"/>
        </w:numPr>
        <w:spacing w:lineRule="auto" w:line="276" w:before="120" w:after="120"/>
        <w:ind w:left="1224" w:right="-30" w:hanging="504"/>
        <w:jc w:val="both"/>
        <w:rPr>
          <w:rFonts w:ascii="Times New Roman" w:hAnsi="Times New Roman"/>
          <w:sz w:val="22"/>
          <w:szCs w:val="22"/>
        </w:rPr>
      </w:pPr>
      <w:r>
        <w:rPr>
          <w:rFonts w:eastAsia="Century Gothic" w:cs="Century Gothic" w:ascii="Times New Roman" w:hAnsi="Times New Roman"/>
          <w:color w:val="000000"/>
          <w:sz w:val="22"/>
          <w:szCs w:val="22"/>
        </w:rPr>
        <w:t>Cometer fraude fiscal.</w:t>
      </w:r>
    </w:p>
    <w:p>
      <w:pPr>
        <w:pStyle w:val="Normal"/>
        <w:numPr>
          <w:ilvl w:val="1"/>
          <w:numId w:val="4"/>
        </w:numPr>
        <w:spacing w:lineRule="auto" w:line="276" w:before="120" w:after="120"/>
        <w:ind w:left="425" w:hanging="0"/>
        <w:jc w:val="both"/>
        <w:rPr>
          <w:rFonts w:ascii="Times New Roman" w:hAnsi="Times New Roman"/>
          <w:sz w:val="22"/>
          <w:szCs w:val="22"/>
        </w:rPr>
      </w:pPr>
      <w:r>
        <w:rPr>
          <w:rFonts w:eastAsia="Century Gothic" w:cs="Century Gothic" w:ascii="Times New Roman" w:hAnsi="Times New Roman"/>
          <w:sz w:val="22"/>
          <w:szCs w:val="22"/>
        </w:rPr>
        <w:t xml:space="preserve">Pela inexecução </w:t>
      </w:r>
      <w:r>
        <w:rPr>
          <w:rFonts w:eastAsia="Century Gothic" w:cs="Century Gothic" w:ascii="Times New Roman" w:hAnsi="Times New Roman"/>
          <w:sz w:val="22"/>
          <w:szCs w:val="22"/>
          <w:u w:val="single"/>
        </w:rPr>
        <w:t>total ou parcial</w:t>
      </w:r>
      <w:r>
        <w:rPr>
          <w:rFonts w:eastAsia="Century Gothic" w:cs="Century Gothic" w:ascii="Times New Roman" w:hAnsi="Times New Roman"/>
          <w:sz w:val="22"/>
          <w:szCs w:val="22"/>
        </w:rPr>
        <w:t xml:space="preserve"> do objeto deste contrato, a Administração pode aplicar à CONTRATADA as seguintes sanções:</w:t>
      </w:r>
    </w:p>
    <w:p>
      <w:pPr>
        <w:pStyle w:val="Normal"/>
        <w:numPr>
          <w:ilvl w:val="2"/>
          <w:numId w:val="3"/>
        </w:numPr>
        <w:spacing w:lineRule="auto" w:line="276" w:before="120" w:after="120"/>
        <w:jc w:val="both"/>
        <w:rPr>
          <w:rFonts w:ascii="Times New Roman" w:hAnsi="Times New Roman"/>
          <w:sz w:val="22"/>
          <w:szCs w:val="22"/>
        </w:rPr>
      </w:pPr>
      <w:r>
        <w:rPr>
          <w:rFonts w:eastAsia="Century Gothic" w:cs="Century Gothic" w:ascii="Times New Roman" w:hAnsi="Times New Roman"/>
          <w:b/>
          <w:sz w:val="22"/>
          <w:szCs w:val="22"/>
        </w:rPr>
        <w:t>Advertência por escrito</w:t>
      </w:r>
      <w:r>
        <w:rPr>
          <w:rFonts w:eastAsia="Century Gothic" w:cs="Century Gothic" w:ascii="Times New Roman" w:hAnsi="Times New Roman"/>
          <w:sz w:val="22"/>
          <w:szCs w:val="22"/>
        </w:rPr>
        <w:t>, quando do não cumprimento de quaisquer das obrigações contratuais consideradas faltas leves, assim entendidas aquelas que não acarretam prejuízos significativos para o serviço contratado;</w:t>
      </w:r>
    </w:p>
    <w:p>
      <w:pPr>
        <w:pStyle w:val="Normal"/>
        <w:numPr>
          <w:ilvl w:val="2"/>
          <w:numId w:val="3"/>
        </w:numPr>
        <w:spacing w:lineRule="auto" w:line="276" w:before="120" w:after="120"/>
        <w:jc w:val="both"/>
        <w:rPr>
          <w:rFonts w:ascii="Times New Roman" w:hAnsi="Times New Roman"/>
          <w:sz w:val="22"/>
          <w:szCs w:val="22"/>
        </w:rPr>
      </w:pPr>
      <w:r>
        <w:rPr>
          <w:rFonts w:eastAsia="Century Gothic" w:cs="Century Gothic" w:ascii="Times New Roman" w:hAnsi="Times New Roman"/>
          <w:b/>
          <w:sz w:val="22"/>
          <w:szCs w:val="22"/>
        </w:rPr>
        <w:t>Multa:</w:t>
      </w:r>
    </w:p>
    <w:p>
      <w:pPr>
        <w:pStyle w:val="Normal"/>
        <w:numPr>
          <w:ilvl w:val="3"/>
          <w:numId w:val="3"/>
        </w:numPr>
        <w:spacing w:lineRule="auto" w:line="276" w:before="120" w:after="120"/>
        <w:jc w:val="both"/>
        <w:rPr>
          <w:rFonts w:ascii="Times New Roman" w:hAnsi="Times New Roman"/>
          <w:sz w:val="22"/>
          <w:szCs w:val="22"/>
        </w:rPr>
      </w:pPr>
      <w:r>
        <w:rPr>
          <w:rFonts w:eastAsia="Century Gothic" w:cs="Century Gothic" w:ascii="Times New Roman" w:hAnsi="Times New Roman"/>
          <w:sz w:val="22"/>
          <w:szCs w:val="22"/>
        </w:rPr>
        <w:t>Moratória de 10% (dez por cento) por dia de atraso injustificado sobre o valor da parcela inadimplida, até o limite de 10 (dez) dias corridos;</w:t>
      </w:r>
    </w:p>
    <w:p>
      <w:pPr>
        <w:pStyle w:val="Normal"/>
        <w:numPr>
          <w:ilvl w:val="3"/>
          <w:numId w:val="3"/>
        </w:numPr>
        <w:spacing w:lineRule="auto" w:line="276" w:before="120" w:after="120"/>
        <w:jc w:val="both"/>
        <w:rPr>
          <w:rFonts w:ascii="Times New Roman" w:hAnsi="Times New Roman"/>
          <w:sz w:val="22"/>
          <w:szCs w:val="22"/>
        </w:rPr>
      </w:pPr>
      <w:r>
        <w:rPr>
          <w:rFonts w:eastAsia="Century Gothic" w:cs="Century Gothic" w:ascii="Times New Roman" w:hAnsi="Times New Roman"/>
          <w:sz w:val="22"/>
          <w:szCs w:val="22"/>
        </w:rPr>
        <w:t>Compensatória de 10% (dez por cento) sobre o valor total do contrato, no caso de inexecução total do objeto;</w:t>
      </w:r>
    </w:p>
    <w:p>
      <w:pPr>
        <w:pStyle w:val="Normal"/>
        <w:numPr>
          <w:ilvl w:val="2"/>
          <w:numId w:val="3"/>
        </w:numPr>
        <w:spacing w:lineRule="auto" w:line="276" w:before="120" w:after="120"/>
        <w:jc w:val="both"/>
        <w:rPr>
          <w:rFonts w:ascii="Times New Roman" w:hAnsi="Times New Roman"/>
          <w:sz w:val="22"/>
          <w:szCs w:val="22"/>
        </w:rPr>
      </w:pPr>
      <w:r>
        <w:rPr>
          <w:rFonts w:eastAsia="Century Gothic" w:cs="Century Gothic" w:ascii="Times New Roman" w:hAnsi="Times New Roman"/>
          <w:b/>
          <w:sz w:val="22"/>
          <w:szCs w:val="22"/>
        </w:rPr>
        <w:t>Suspensão de licitar e impedimento de contratar</w:t>
      </w:r>
      <w:r>
        <w:rPr>
          <w:rFonts w:eastAsia="Century Gothic" w:cs="Century Gothic" w:ascii="Times New Roman" w:hAnsi="Times New Roman"/>
          <w:sz w:val="22"/>
          <w:szCs w:val="22"/>
        </w:rPr>
        <w:t xml:space="preserve"> com o órgão, entidade ou unidade administrativa pela qual a Administração Pública opera e atua concretamente, pelo prazo de até dois anos;</w:t>
      </w:r>
    </w:p>
    <w:p>
      <w:pPr>
        <w:pStyle w:val="Normal"/>
        <w:numPr>
          <w:ilvl w:val="2"/>
          <w:numId w:val="3"/>
        </w:numPr>
        <w:jc w:val="both"/>
        <w:rPr>
          <w:rFonts w:ascii="Times New Roman" w:hAnsi="Times New Roman"/>
          <w:sz w:val="22"/>
          <w:szCs w:val="22"/>
        </w:rPr>
      </w:pPr>
      <w:r>
        <w:rPr>
          <w:rFonts w:eastAsia="Century Gothic" w:cs="Century Gothic" w:ascii="Times New Roman" w:hAnsi="Times New Roman"/>
          <w:b/>
          <w:color w:val="000000"/>
          <w:sz w:val="22"/>
          <w:szCs w:val="22"/>
        </w:rPr>
        <w:t>Sanção de impedimento de licitar e contratar com órgãos e entidades da União</w:t>
      </w:r>
      <w:r>
        <w:rPr>
          <w:rFonts w:eastAsia="Century Gothic" w:cs="Century Gothic" w:ascii="Times New Roman" w:hAnsi="Times New Roman"/>
          <w:color w:val="000000"/>
          <w:sz w:val="22"/>
          <w:szCs w:val="22"/>
        </w:rPr>
        <w:t>, com o consequente descredenciamento no SICAF pelo prazo de até cinco anos.</w:t>
      </w:r>
    </w:p>
    <w:p>
      <w:pPr>
        <w:pStyle w:val="Normal"/>
        <w:numPr>
          <w:ilvl w:val="2"/>
          <w:numId w:val="3"/>
        </w:numPr>
        <w:spacing w:lineRule="auto" w:line="276" w:before="120" w:after="120"/>
        <w:jc w:val="both"/>
        <w:rPr>
          <w:rFonts w:ascii="Times New Roman" w:hAnsi="Times New Roman"/>
          <w:sz w:val="22"/>
          <w:szCs w:val="22"/>
        </w:rPr>
      </w:pPr>
      <w:r>
        <w:rPr>
          <w:rFonts w:eastAsia="Century Gothic" w:cs="Century Gothic" w:ascii="Times New Roman" w:hAnsi="Times New Roman"/>
          <w:b/>
          <w:sz w:val="22"/>
          <w:szCs w:val="22"/>
        </w:rPr>
        <w:t>Declaração de inidoneidade para licitar ou contratar</w:t>
      </w:r>
      <w:r>
        <w:rPr>
          <w:rFonts w:eastAsia="Century Gothic" w:cs="Century Gothic" w:ascii="Times New Roman" w:hAnsi="Times New Roman"/>
          <w:sz w:val="22"/>
          <w:szCs w:val="22"/>
        </w:rPr>
        <w:t xml:space="preserve"> com a Administração Pública, enquanto perdurarem os motivos determinantes da punição ou até que seja promovida a reabilitação perante a própria autoridade que aplicou a penalidade, que será concedida sempre que a Contratada ressarcir a Contratante pelos prejuízos causados; </w:t>
      </w:r>
    </w:p>
    <w:p>
      <w:pPr>
        <w:pStyle w:val="Normal"/>
        <w:numPr>
          <w:ilvl w:val="1"/>
          <w:numId w:val="4"/>
        </w:numPr>
        <w:spacing w:lineRule="auto" w:line="276" w:before="120" w:after="120"/>
        <w:ind w:left="425" w:hanging="0"/>
        <w:jc w:val="both"/>
        <w:rPr>
          <w:rFonts w:ascii="Times New Roman" w:hAnsi="Times New Roman"/>
          <w:sz w:val="22"/>
          <w:szCs w:val="22"/>
        </w:rPr>
      </w:pPr>
      <w:bookmarkStart w:id="4" w:name="_heading=h.3znysh7"/>
      <w:bookmarkEnd w:id="4"/>
      <w:r>
        <w:rPr>
          <w:rFonts w:eastAsia="Century Gothic" w:cs="Century Gothic" w:ascii="Times New Roman" w:hAnsi="Times New Roman"/>
          <w:sz w:val="22"/>
          <w:szCs w:val="22"/>
        </w:rPr>
        <w:t xml:space="preserve"> </w:t>
      </w:r>
      <w:r>
        <w:rPr>
          <w:rFonts w:eastAsia="Century Gothic" w:cs="Century Gothic" w:ascii="Times New Roman" w:hAnsi="Times New Roman"/>
          <w:sz w:val="22"/>
          <w:szCs w:val="22"/>
        </w:rPr>
        <w:t>A Sanção de impedimento de licitar e contratar prevista no subitem “iv” também é aplicável em quaisquer das hipóteses previstas como infração administrativa neste Termo de Referência.</w:t>
      </w:r>
    </w:p>
    <w:p>
      <w:pPr>
        <w:pStyle w:val="Normal"/>
        <w:numPr>
          <w:ilvl w:val="1"/>
          <w:numId w:val="4"/>
        </w:numPr>
        <w:spacing w:lineRule="auto" w:line="276" w:before="120" w:after="120"/>
        <w:ind w:left="425" w:hanging="0"/>
        <w:jc w:val="both"/>
        <w:rPr>
          <w:rFonts w:ascii="Times New Roman" w:hAnsi="Times New Roman"/>
          <w:sz w:val="22"/>
          <w:szCs w:val="22"/>
        </w:rPr>
      </w:pPr>
      <w:r>
        <w:rPr>
          <w:rFonts w:eastAsia="Century Gothic" w:cs="Century Gothic" w:ascii="Times New Roman" w:hAnsi="Times New Roman"/>
          <w:sz w:val="22"/>
          <w:szCs w:val="22"/>
        </w:rPr>
        <w:t>As sanções previstas nos subitens “i”, “iii”, “iv” e “v” poderão ser aplicadas à CONTRATADA juntamente com as de multa, descontando-a dos pagamentos a serem efetuados.</w:t>
      </w:r>
    </w:p>
    <w:p>
      <w:pPr>
        <w:pStyle w:val="Normal"/>
        <w:numPr>
          <w:ilvl w:val="1"/>
          <w:numId w:val="4"/>
        </w:numPr>
        <w:spacing w:lineRule="auto" w:line="276" w:before="120" w:after="120"/>
        <w:ind w:left="425" w:hanging="0"/>
        <w:jc w:val="both"/>
        <w:rPr>
          <w:rFonts w:ascii="Times New Roman" w:hAnsi="Times New Roman"/>
          <w:sz w:val="22"/>
          <w:szCs w:val="22"/>
        </w:rPr>
      </w:pPr>
      <w:r>
        <w:rPr>
          <w:rFonts w:eastAsia="Century Gothic" w:cs="Century Gothic" w:ascii="Times New Roman" w:hAnsi="Times New Roman"/>
          <w:sz w:val="22"/>
          <w:szCs w:val="22"/>
        </w:rPr>
        <w:t>Também ficam sujeitas às penalidades do art. 87, III e IV da Lei nº 8.666, de 1993, as empresas ou profissionais que:</w:t>
      </w:r>
    </w:p>
    <w:p>
      <w:pPr>
        <w:pStyle w:val="Normal"/>
        <w:numPr>
          <w:ilvl w:val="2"/>
          <w:numId w:val="4"/>
        </w:numPr>
        <w:spacing w:lineRule="auto" w:line="276" w:before="120" w:after="120"/>
        <w:ind w:left="1134" w:hanging="0"/>
        <w:jc w:val="both"/>
        <w:rPr>
          <w:rFonts w:ascii="Times New Roman" w:hAnsi="Times New Roman"/>
          <w:sz w:val="22"/>
          <w:szCs w:val="22"/>
        </w:rPr>
      </w:pPr>
      <w:r>
        <w:rPr>
          <w:rFonts w:eastAsia="Century Gothic" w:cs="Century Gothic" w:ascii="Times New Roman" w:hAnsi="Times New Roman"/>
          <w:sz w:val="22"/>
          <w:szCs w:val="22"/>
        </w:rPr>
        <w:t>Tenham sofrido condenação definitiva por praticar, por meio dolosos, fraude fiscal no recolhimento de quaisquer tributos;</w:t>
      </w:r>
    </w:p>
    <w:p>
      <w:pPr>
        <w:pStyle w:val="Normal"/>
        <w:numPr>
          <w:ilvl w:val="2"/>
          <w:numId w:val="4"/>
        </w:numPr>
        <w:spacing w:lineRule="auto" w:line="276" w:before="120" w:after="120"/>
        <w:ind w:left="1134" w:hanging="0"/>
        <w:jc w:val="both"/>
        <w:rPr>
          <w:rFonts w:ascii="Times New Roman" w:hAnsi="Times New Roman"/>
          <w:sz w:val="22"/>
          <w:szCs w:val="22"/>
        </w:rPr>
      </w:pPr>
      <w:r>
        <w:rPr>
          <w:rFonts w:eastAsia="Century Gothic" w:cs="Century Gothic" w:ascii="Times New Roman" w:hAnsi="Times New Roman"/>
          <w:sz w:val="22"/>
          <w:szCs w:val="22"/>
        </w:rPr>
        <w:t>Tenham praticado atos ilícitos visando a frustrar os objetivos da licitação;</w:t>
      </w:r>
    </w:p>
    <w:p>
      <w:pPr>
        <w:pStyle w:val="Normal"/>
        <w:numPr>
          <w:ilvl w:val="2"/>
          <w:numId w:val="4"/>
        </w:numPr>
        <w:spacing w:lineRule="auto" w:line="276" w:before="240" w:after="120"/>
        <w:ind w:left="1134" w:right="-17" w:hanging="283"/>
        <w:jc w:val="both"/>
        <w:rPr>
          <w:rFonts w:ascii="Times New Roman" w:hAnsi="Times New Roman"/>
          <w:sz w:val="22"/>
          <w:szCs w:val="22"/>
        </w:rPr>
      </w:pPr>
      <w:r>
        <w:rPr>
          <w:rFonts w:eastAsia="Century Gothic" w:cs="Century Gothic" w:ascii="Times New Roman" w:hAnsi="Times New Roman"/>
          <w:sz w:val="22"/>
          <w:szCs w:val="22"/>
        </w:rPr>
        <w:t>Demonstrem não possuir idoneidade para contratar com a Administração em virtude de atos ilícitos praticados.</w:t>
      </w:r>
    </w:p>
    <w:p>
      <w:pPr>
        <w:pStyle w:val="Normal"/>
        <w:numPr>
          <w:ilvl w:val="1"/>
          <w:numId w:val="4"/>
        </w:numPr>
        <w:spacing w:lineRule="auto" w:line="276" w:before="120" w:after="120"/>
        <w:ind w:left="425" w:hanging="0"/>
        <w:jc w:val="both"/>
        <w:rPr>
          <w:rFonts w:ascii="Times New Roman" w:hAnsi="Times New Roman"/>
          <w:sz w:val="22"/>
          <w:szCs w:val="22"/>
        </w:rPr>
      </w:pPr>
      <w:r>
        <w:rPr>
          <w:rFonts w:eastAsia="Century Gothic" w:cs="Century Gothic" w:ascii="Times New Roman" w:hAnsi="Times New Roman"/>
          <w:sz w:val="22"/>
          <w:szCs w:val="22"/>
        </w:rPr>
        <w:t>A aplicação de qualquer das penalidades previstas realizar-se-á em processo administrativo que assegurará o contraditório e a ampla defesa à Contratada, observando-se o procedimento previsto na Lei nº 8.666, de 1993, e subsidiariamente a Lei nº 9.784, de 1999.</w:t>
      </w:r>
    </w:p>
    <w:p>
      <w:pPr>
        <w:pStyle w:val="Normal"/>
        <w:numPr>
          <w:ilvl w:val="1"/>
          <w:numId w:val="4"/>
        </w:numPr>
        <w:spacing w:lineRule="auto" w:line="276" w:before="120" w:after="120"/>
        <w:ind w:left="716" w:right="-30" w:hanging="432"/>
        <w:jc w:val="both"/>
        <w:rPr>
          <w:rFonts w:ascii="Times New Roman" w:hAnsi="Times New Roman"/>
          <w:sz w:val="22"/>
          <w:szCs w:val="22"/>
        </w:rPr>
      </w:pPr>
      <w:r>
        <w:rPr>
          <w:rFonts w:eastAsia="Century Gothic" w:cs="Century Gothic" w:ascii="Times New Roman" w:hAnsi="Times New Roman"/>
          <w:sz w:val="22"/>
          <w:szCs w:val="22"/>
        </w:rPr>
        <w:t>As multas devidas e/ou prejuízos causados à Contratante serão deduzidos dos valores a serem pagos, ou recolhidos em favor da União, ou deduzidos da garantia, ou ainda, quando for o caso, serão inscritos na Dívida Ativa da União e cobrados judicialmente.</w:t>
      </w:r>
    </w:p>
    <w:p>
      <w:pPr>
        <w:pStyle w:val="Normal"/>
        <w:numPr>
          <w:ilvl w:val="2"/>
          <w:numId w:val="4"/>
        </w:numPr>
        <w:spacing w:lineRule="auto" w:line="276" w:before="120" w:after="120"/>
        <w:ind w:left="930" w:right="-30" w:hanging="504"/>
        <w:jc w:val="both"/>
        <w:rPr>
          <w:rFonts w:ascii="Times New Roman" w:hAnsi="Times New Roman"/>
          <w:sz w:val="22"/>
          <w:szCs w:val="22"/>
        </w:rPr>
      </w:pPr>
      <w:r>
        <w:rPr>
          <w:rFonts w:eastAsia="Century Gothic" w:cs="Century Gothic" w:ascii="Times New Roman" w:hAnsi="Times New Roman"/>
          <w:sz w:val="22"/>
          <w:szCs w:val="22"/>
        </w:rPr>
        <w:t>Caso a Contratante determine, a multa deverá ser recolhida no prazo máximo de 05 (cinco) dias [uteis, a contar da data do recebimento da comunicação enviada pela autoridade competente.</w:t>
      </w:r>
    </w:p>
    <w:p>
      <w:pPr>
        <w:pStyle w:val="Normal"/>
        <w:numPr>
          <w:ilvl w:val="1"/>
          <w:numId w:val="4"/>
        </w:numPr>
        <w:spacing w:lineRule="auto" w:line="276" w:before="120" w:after="120"/>
        <w:ind w:left="716" w:right="-30" w:hanging="432"/>
        <w:jc w:val="both"/>
        <w:rPr>
          <w:rFonts w:ascii="Times New Roman" w:hAnsi="Times New Roman"/>
          <w:sz w:val="22"/>
          <w:szCs w:val="22"/>
        </w:rPr>
      </w:pPr>
      <w:r>
        <w:rPr>
          <w:rFonts w:eastAsia="Century Gothic" w:cs="Century Gothic" w:ascii="Times New Roman" w:hAnsi="Times New Roman"/>
          <w:sz w:val="22"/>
          <w:szCs w:val="22"/>
        </w:rPr>
        <w:t>Caso o valor da multa não seja suficiente para cobrir os prejuízos causados pela conduta do licitante, a União ou Entidade poderá cobrar o valor remanescente judicialmente, conforme artigo 419 do Código Civil.</w:t>
      </w:r>
    </w:p>
    <w:p>
      <w:pPr>
        <w:pStyle w:val="Normal"/>
        <w:numPr>
          <w:ilvl w:val="1"/>
          <w:numId w:val="4"/>
        </w:numPr>
        <w:spacing w:lineRule="auto" w:line="276" w:before="120" w:after="120"/>
        <w:ind w:left="716" w:right="-30" w:hanging="432"/>
        <w:jc w:val="both"/>
        <w:rPr>
          <w:rFonts w:ascii="Times New Roman" w:hAnsi="Times New Roman"/>
          <w:sz w:val="22"/>
          <w:szCs w:val="22"/>
        </w:rPr>
      </w:pPr>
      <w:r>
        <w:rPr>
          <w:rFonts w:eastAsia="Century Gothic" w:cs="Century Gothic" w:ascii="Times New Roman" w:hAnsi="Times New Roman"/>
          <w:sz w:val="22"/>
          <w:szCs w:val="22"/>
        </w:rPr>
        <w:t>A autoridade competente, na aplicação das sanções, levará em consideração a gravidade da conduta do infrator, o caráter educativo da pena, bem como o dano causado à Administração, observado o princípio da proporcionalidade.</w:t>
      </w:r>
    </w:p>
    <w:p>
      <w:pPr>
        <w:pStyle w:val="Normal"/>
        <w:numPr>
          <w:ilvl w:val="1"/>
          <w:numId w:val="4"/>
        </w:numPr>
        <w:spacing w:lineRule="auto" w:line="276" w:before="120" w:after="120"/>
        <w:jc w:val="both"/>
        <w:rPr>
          <w:rFonts w:ascii="Times New Roman" w:hAnsi="Times New Roman"/>
          <w:sz w:val="22"/>
          <w:szCs w:val="22"/>
        </w:rPr>
      </w:pPr>
      <w:r>
        <w:rPr>
          <w:rFonts w:eastAsia="Century Gothic" w:cs="Century Gothic" w:ascii="Times New Roman" w:hAnsi="Times New Roman"/>
          <w:color w:val="000000"/>
          <w:sz w:val="22"/>
          <w:szCs w:val="22"/>
        </w:rPr>
        <w:t xml:space="preserve">Se, durante o processo de aplicação de penalidade, se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pPr>
        <w:pStyle w:val="Normal"/>
        <w:numPr>
          <w:ilvl w:val="1"/>
          <w:numId w:val="4"/>
        </w:numPr>
        <w:spacing w:lineRule="auto" w:line="276" w:before="120" w:after="120"/>
        <w:jc w:val="both"/>
        <w:rPr>
          <w:rFonts w:ascii="Times New Roman" w:hAnsi="Times New Roman"/>
          <w:sz w:val="22"/>
          <w:szCs w:val="22"/>
        </w:rPr>
      </w:pPr>
      <w:r>
        <w:rPr>
          <w:rFonts w:eastAsia="Century Gothic" w:cs="Century Gothic" w:ascii="Times New Roman" w:hAnsi="Times New Roman"/>
          <w:color w:val="000000"/>
          <w:sz w:val="22"/>
          <w:szCs w:val="22"/>
        </w:rPr>
        <w:t>A apuração e o julgamento das demais infrações administrativas não consideradas como ato lesivo à Administração Pública nacional ou estrangeira nos termos da Lei nº 12.846, de 1º de agosto de 2013, seguirão seu rito normal na unidade administrativa.</w:t>
      </w:r>
    </w:p>
    <w:p>
      <w:pPr>
        <w:pStyle w:val="Normal"/>
        <w:numPr>
          <w:ilvl w:val="1"/>
          <w:numId w:val="4"/>
        </w:numPr>
        <w:spacing w:lineRule="auto" w:line="276" w:before="120" w:after="120"/>
        <w:jc w:val="both"/>
        <w:rPr>
          <w:rFonts w:ascii="Times New Roman" w:hAnsi="Times New Roman"/>
          <w:sz w:val="22"/>
          <w:szCs w:val="22"/>
        </w:rPr>
      </w:pPr>
      <w:r>
        <w:rPr>
          <w:rFonts w:eastAsia="Century Gothic" w:cs="Century Gothic" w:ascii="Times New Roman" w:hAnsi="Times New Roman"/>
          <w:color w:val="000000"/>
          <w:sz w:val="22"/>
          <w:szCs w:val="22"/>
        </w:rPr>
        <w:t xml:space="preserve">O processamento do PAR não interfere no seguimento regular dos processos administrativos específicos para apuração da ocorrência de danos e prejuízos à Administração Pública Federal resultantes de ato lesivo cometido por pessoa jurídica, com ou sem a participação de agente público. </w:t>
      </w:r>
    </w:p>
    <w:p>
      <w:pPr>
        <w:pStyle w:val="Normal"/>
        <w:numPr>
          <w:ilvl w:val="1"/>
          <w:numId w:val="4"/>
        </w:numPr>
        <w:spacing w:lineRule="auto" w:line="276" w:before="120" w:after="120"/>
        <w:ind w:left="425" w:hanging="0"/>
        <w:jc w:val="both"/>
        <w:rPr>
          <w:rFonts w:ascii="Times New Roman" w:hAnsi="Times New Roman"/>
          <w:sz w:val="22"/>
          <w:szCs w:val="22"/>
        </w:rPr>
      </w:pPr>
      <w:r>
        <w:rPr>
          <w:rFonts w:eastAsia="Century Gothic" w:cs="Century Gothic" w:ascii="Times New Roman" w:hAnsi="Times New Roman"/>
          <w:sz w:val="22"/>
          <w:szCs w:val="22"/>
        </w:rPr>
        <w:t>As penalidades serão obrigatoriamente registradas no SICAF.</w:t>
      </w:r>
    </w:p>
    <w:p>
      <w:pPr>
        <w:pStyle w:val="Normal"/>
        <w:keepNext w:val="true"/>
        <w:keepLines/>
        <w:spacing w:lineRule="auto" w:line="276" w:before="480" w:after="120"/>
        <w:ind w:left="1070" w:hanging="0"/>
        <w:jc w:val="both"/>
        <w:rPr>
          <w:rFonts w:ascii="Times New Roman" w:hAnsi="Times New Roman"/>
          <w:sz w:val="22"/>
          <w:szCs w:val="22"/>
        </w:rPr>
      </w:pPr>
      <w:r>
        <w:rPr>
          <w:rFonts w:eastAsia="Century Gothic" w:cs="Century Gothic" w:ascii="Times New Roman" w:hAnsi="Times New Roman"/>
          <w:b/>
          <w:i w:val="false"/>
          <w:iCs w:val="false"/>
          <w:sz w:val="22"/>
          <w:szCs w:val="22"/>
        </w:rPr>
        <w:t>14</w:t>
      </w:r>
      <w:r>
        <w:rPr>
          <w:rFonts w:eastAsia="Century Gothic" w:cs="Century Gothic" w:ascii="Times New Roman" w:hAnsi="Times New Roman"/>
          <w:i w:val="false"/>
          <w:iCs w:val="false"/>
          <w:sz w:val="22"/>
          <w:szCs w:val="22"/>
        </w:rPr>
        <w:t>.</w:t>
      </w:r>
      <w:r>
        <w:rPr>
          <w:rFonts w:eastAsia="Century Gothic" w:cs="Century Gothic" w:ascii="Times New Roman" w:hAnsi="Times New Roman"/>
          <w:i/>
          <w:sz w:val="22"/>
          <w:szCs w:val="22"/>
        </w:rPr>
        <w:t xml:space="preserve"> </w:t>
      </w:r>
      <w:r>
        <w:rPr>
          <w:rFonts w:eastAsia="Century Gothic" w:cs="Century Gothic" w:ascii="Times New Roman" w:hAnsi="Times New Roman"/>
          <w:b/>
          <w:color w:val="000000"/>
          <w:sz w:val="22"/>
          <w:szCs w:val="22"/>
        </w:rPr>
        <w:t>CRITÉRIOS DE SELEÇÃO DO FORNECEDOR.</w:t>
      </w:r>
    </w:p>
    <w:p>
      <w:pPr>
        <w:pStyle w:val="Normal"/>
        <w:spacing w:lineRule="auto" w:line="276" w:before="120" w:after="120"/>
        <w:ind w:left="720" w:hanging="0"/>
        <w:jc w:val="both"/>
        <w:rPr>
          <w:rFonts w:ascii="Times New Roman" w:hAnsi="Times New Roman"/>
          <w:sz w:val="22"/>
          <w:szCs w:val="22"/>
        </w:rPr>
      </w:pPr>
      <w:r>
        <w:rPr>
          <w:rFonts w:eastAsia="Century Gothic" w:cs="Century Gothic" w:ascii="Times New Roman" w:hAnsi="Times New Roman"/>
          <w:color w:val="000000"/>
          <w:sz w:val="22"/>
          <w:szCs w:val="22"/>
        </w:rPr>
        <w:t xml:space="preserve">14.1. </w:t>
      </w:r>
      <w:r>
        <w:rPr>
          <w:rFonts w:eastAsia="Century Gothic" w:cs="Century Gothic" w:ascii="Times New Roman" w:hAnsi="Times New Roman"/>
          <w:sz w:val="22"/>
          <w:szCs w:val="22"/>
        </w:rPr>
        <w:t>As exigências de habilitação jurídica e de regularidade fiscal e trabalhista são as usuais para a generalidade dos objetos, conforme disciplinado no edital.</w:t>
      </w:r>
      <w:sdt>
        <w:sdtPr/>
        <w:sdtContent>
          <w:r>
            <w:rPr>
              <w:rFonts w:eastAsia="Century Gothic" w:cs="Century Gothic" w:ascii="Times New Roman" w:hAnsi="Times New Roman"/>
              <w:sz w:val="22"/>
              <w:szCs w:val="22"/>
            </w:rPr>
          </w:r>
          <w:r>
            <w:rPr>
              <w:rFonts w:eastAsia="Century Gothic" w:cs="Century Gothic" w:ascii="Times New Roman" w:hAnsi="Times New Roman"/>
              <w:sz w:val="22"/>
              <w:szCs w:val="22"/>
            </w:rPr>
          </w:r>
        </w:sdtContent>
      </w:sdt>
    </w:p>
    <w:p>
      <w:pPr>
        <w:pStyle w:val="Normal"/>
        <w:spacing w:lineRule="auto" w:line="276" w:before="120" w:after="120"/>
        <w:ind w:left="720" w:hanging="0"/>
        <w:jc w:val="both"/>
        <w:rPr>
          <w:rFonts w:ascii="Times New Roman" w:hAnsi="Times New Roman"/>
          <w:sz w:val="22"/>
          <w:szCs w:val="22"/>
        </w:rPr>
      </w:pPr>
      <w:r>
        <w:rPr>
          <w:rFonts w:eastAsia="Century Gothic" w:cs="Century Gothic" w:ascii="Times New Roman" w:hAnsi="Times New Roman"/>
          <w:sz w:val="22"/>
          <w:szCs w:val="22"/>
        </w:rPr>
        <w:t xml:space="preserve">14.2. </w:t>
      </w:r>
      <w:sdt>
        <w:sdtPr/>
        <w:sdtContent>
          <w:r>
            <w:rPr>
              <w:rFonts w:eastAsia="Century Gothic" w:cs="Century Gothic" w:ascii="Times New Roman" w:hAnsi="Times New Roman"/>
              <w:sz w:val="22"/>
              <w:szCs w:val="22"/>
            </w:rPr>
          </w:r>
          <w:r>
            <w:rPr>
              <w:rFonts w:eastAsia="Century Gothic" w:cs="Century Gothic" w:ascii="Times New Roman" w:hAnsi="Times New Roman"/>
              <w:sz w:val="22"/>
              <w:szCs w:val="22"/>
            </w:rPr>
          </w:r>
        </w:sdtContent>
      </w:sdt>
      <w:r>
        <w:rPr>
          <w:rFonts w:eastAsia="Century Gothic" w:cs="Century Gothic" w:ascii="Times New Roman" w:hAnsi="Times New Roman"/>
          <w:sz w:val="22"/>
          <w:szCs w:val="22"/>
        </w:rPr>
        <w:t>Os critérios de qualificação econômico-financeira a serem atendidos pelo fornecedor serão os previstos no edital.</w:t>
      </w:r>
      <w:sdt>
        <w:sdtPr/>
        <w:sdtContent>
          <w:r>
            <w:rPr>
              <w:rFonts w:eastAsia="Century Gothic" w:cs="Century Gothic" w:ascii="Times New Roman" w:hAnsi="Times New Roman"/>
              <w:sz w:val="22"/>
              <w:szCs w:val="22"/>
            </w:rPr>
          </w:r>
          <w:r>
            <w:rPr>
              <w:rFonts w:eastAsia="Century Gothic" w:cs="Century Gothic" w:ascii="Times New Roman" w:hAnsi="Times New Roman"/>
              <w:sz w:val="22"/>
              <w:szCs w:val="22"/>
            </w:rPr>
          </w:r>
        </w:sdtContent>
      </w:sdt>
    </w:p>
    <w:p>
      <w:pPr>
        <w:pStyle w:val="Normal"/>
        <w:spacing w:lineRule="auto" w:line="276" w:before="120" w:after="120"/>
        <w:jc w:val="both"/>
        <w:rPr>
          <w:rFonts w:ascii="Times New Roman" w:hAnsi="Times New Roman"/>
          <w:sz w:val="22"/>
          <w:szCs w:val="22"/>
        </w:rPr>
      </w:pPr>
      <w:r>
        <w:rPr>
          <w:rFonts w:eastAsia="Century Gothic" w:cs="Century Gothic" w:ascii="Times New Roman" w:hAnsi="Times New Roman"/>
          <w:sz w:val="22"/>
          <w:szCs w:val="22"/>
        </w:rPr>
        <w:t>14.3.</w:t>
      </w:r>
      <w:sdt>
        <w:sdtPr/>
        <w:sdtContent>
          <w:r>
            <w:rPr>
              <w:rFonts w:eastAsia="Century Gothic" w:cs="Century Gothic" w:ascii="Times New Roman" w:hAnsi="Times New Roman"/>
              <w:sz w:val="22"/>
              <w:szCs w:val="22"/>
            </w:rPr>
          </w:r>
          <w:r>
            <w:rPr>
              <w:rFonts w:eastAsia="Century Gothic" w:cs="Century Gothic" w:ascii="Times New Roman" w:hAnsi="Times New Roman"/>
              <w:sz w:val="22"/>
              <w:szCs w:val="22"/>
            </w:rPr>
          </w:r>
          <w:sdt>
            <w:sdtPr/>
            <w:sdtContent>
              <w:r>
                <w:rPr>
                  <w:rFonts w:eastAsia="Century Gothic" w:cs="Century Gothic" w:ascii="Times New Roman" w:hAnsi="Times New Roman"/>
                  <w:sz w:val="22"/>
                  <w:szCs w:val="22"/>
                </w:rPr>
              </w:r>
            </w:sdtContent>
          </w:sdt>
          <w:sdt>
            <w:sdtPr>
              <w:id w:val="498743195"/>
            </w:sdtPr>
            <w:sdtContent>
              <w:r>
                <w:rPr>
                  <w:rFonts w:ascii="Times New Roman" w:hAnsi="Times New Roman"/>
                  <w:sz w:val="22"/>
                  <w:szCs w:val="22"/>
                </w:rPr>
                <w:t xml:space="preserve"> </w:t>
              </w:r>
            </w:sdtContent>
          </w:sdt>
        </w:sdtContent>
      </w:sdt>
      <w:r>
        <w:rPr>
          <w:rFonts w:eastAsia="Century Gothic" w:cs="Century Gothic" w:ascii="Times New Roman" w:hAnsi="Times New Roman"/>
          <w:sz w:val="22"/>
          <w:szCs w:val="22"/>
        </w:rPr>
        <w:t>Os critérios de qualificação técnica a serem atendidos pelo fornecedor serão: Alvará sanitário e de funcionamento vigente.</w:t>
      </w:r>
    </w:p>
    <w:p>
      <w:pPr>
        <w:pStyle w:val="Normal"/>
        <w:spacing w:lineRule="auto" w:line="276" w:before="120" w:after="120"/>
        <w:ind w:left="425" w:hanging="0"/>
        <w:jc w:val="both"/>
        <w:rPr>
          <w:rFonts w:ascii="Times New Roman" w:hAnsi="Times New Roman" w:eastAsia="Century Gothic" w:cs="Century Gothic"/>
          <w:sz w:val="22"/>
          <w:szCs w:val="22"/>
        </w:rPr>
      </w:pPr>
      <w:r>
        <w:rPr>
          <w:rFonts w:eastAsia="Century Gothic" w:cs="Century Gothic" w:ascii="Times New Roman" w:hAnsi="Times New Roman"/>
          <w:sz w:val="22"/>
          <w:szCs w:val="22"/>
        </w:rPr>
      </w:r>
    </w:p>
    <w:p>
      <w:pPr>
        <w:pStyle w:val="Normal"/>
        <w:keepNext w:val="true"/>
        <w:keepLines/>
        <w:spacing w:lineRule="auto" w:line="276" w:before="120" w:after="120"/>
        <w:ind w:right="-30" w:hanging="0"/>
        <w:jc w:val="both"/>
        <w:rPr>
          <w:rFonts w:ascii="Times New Roman" w:hAnsi="Times New Roman"/>
          <w:sz w:val="22"/>
          <w:szCs w:val="22"/>
        </w:rPr>
      </w:pPr>
      <w:r>
        <w:rPr>
          <w:rFonts w:eastAsia="Century Gothic" w:cs="Century Gothic" w:ascii="Times New Roman" w:hAnsi="Times New Roman"/>
          <w:b/>
          <w:sz w:val="22"/>
          <w:szCs w:val="22"/>
        </w:rPr>
        <w:t>15</w:t>
      </w:r>
      <w:r>
        <w:rPr>
          <w:rFonts w:eastAsia="Century Gothic" w:cs="Century Gothic" w:ascii="Times New Roman" w:hAnsi="Times New Roman"/>
          <w:sz w:val="22"/>
          <w:szCs w:val="22"/>
        </w:rPr>
        <w:t xml:space="preserve">. </w:t>
      </w:r>
      <w:r>
        <w:rPr>
          <w:rFonts w:eastAsia="Century Gothic" w:cs="Century Gothic" w:ascii="Times New Roman" w:hAnsi="Times New Roman"/>
          <w:b/>
          <w:color w:val="000000"/>
          <w:sz w:val="22"/>
          <w:szCs w:val="22"/>
        </w:rPr>
        <w:t>ESTIMATIVA DE PREÇOS E PREÇOS REFERENCIAIS.</w:t>
      </w:r>
    </w:p>
    <w:p>
      <w:pPr>
        <w:pStyle w:val="Normal"/>
        <w:spacing w:lineRule="auto" w:line="276" w:before="120" w:after="120"/>
        <w:ind w:right="-30" w:hanging="0"/>
        <w:jc w:val="both"/>
        <w:rPr>
          <w:rFonts w:ascii="Times New Roman" w:hAnsi="Times New Roman" w:eastAsia="Century Gothic" w:cs="Century Gothic"/>
          <w:b/>
          <w:b/>
          <w:i/>
          <w:i/>
          <w:color w:val="FF0000"/>
          <w:sz w:val="22"/>
          <w:szCs w:val="22"/>
          <w:u w:val="single"/>
        </w:rPr>
      </w:pPr>
      <w:r>
        <w:rPr>
          <w:rFonts w:eastAsia="Century Gothic" w:cs="Century Gothic" w:ascii="Times New Roman" w:hAnsi="Times New Roman"/>
          <w:b/>
          <w:i/>
          <w:color w:val="FF0000"/>
          <w:sz w:val="22"/>
          <w:szCs w:val="22"/>
          <w:u w:val="single"/>
        </w:rPr>
      </w:r>
    </w:p>
    <w:p>
      <w:pPr>
        <w:pStyle w:val="ListParagraph"/>
        <w:widowControl w:val="false"/>
        <w:numPr>
          <w:ilvl w:val="1"/>
          <w:numId w:val="5"/>
        </w:numPr>
        <w:spacing w:lineRule="auto" w:line="276" w:before="0" w:after="120"/>
        <w:contextualSpacing/>
        <w:jc w:val="both"/>
        <w:rPr>
          <w:rFonts w:ascii="Times New Roman" w:hAnsi="Times New Roman"/>
          <w:sz w:val="22"/>
          <w:szCs w:val="22"/>
        </w:rPr>
      </w:pPr>
      <w:r>
        <w:rPr>
          <w:rFonts w:eastAsia="Century Gothic" w:cs="Century Gothic" w:ascii="Times New Roman" w:hAnsi="Times New Roman"/>
          <w:color w:val="000000"/>
          <w:sz w:val="22"/>
          <w:szCs w:val="22"/>
        </w:rPr>
        <w:t xml:space="preserve">O custo estimado da contratação é de </w:t>
      </w:r>
      <w:r>
        <w:rPr>
          <w:rFonts w:eastAsia="Century Gothic" w:cs="Century Gothic" w:ascii="Times New Roman" w:hAnsi="Times New Roman"/>
          <w:sz w:val="22"/>
          <w:szCs w:val="22"/>
        </w:rPr>
        <w:t>R$27.051,34 (vinte e sete mil cinquenta e um reais e trinta e quatro centavos).</w:t>
      </w:r>
    </w:p>
    <w:p>
      <w:pPr>
        <w:pStyle w:val="Normal"/>
        <w:spacing w:lineRule="auto" w:line="276" w:before="120" w:after="120"/>
        <w:ind w:left="716" w:hanging="0"/>
        <w:jc w:val="both"/>
        <w:rPr>
          <w:rFonts w:ascii="Times New Roman" w:hAnsi="Times New Roman" w:eastAsia="Century Gothic" w:cs="Century Gothic"/>
          <w:b/>
          <w:b/>
          <w:i/>
          <w:i/>
          <w:color w:val="FF0000"/>
          <w:sz w:val="22"/>
          <w:szCs w:val="22"/>
        </w:rPr>
      </w:pPr>
      <w:r>
        <w:rPr>
          <w:rFonts w:eastAsia="Century Gothic" w:cs="Century Gothic" w:ascii="Times New Roman" w:hAnsi="Times New Roman"/>
          <w:b/>
          <w:i/>
          <w:color w:val="FF0000"/>
          <w:sz w:val="22"/>
          <w:szCs w:val="22"/>
        </w:rPr>
      </w:r>
    </w:p>
    <w:p>
      <w:pPr>
        <w:pStyle w:val="LONormal"/>
        <w:jc w:val="both"/>
        <w:rPr>
          <w:rFonts w:ascii="Times New Roman" w:hAnsi="Times New Roman"/>
          <w:b/>
          <w:b/>
          <w:bCs/>
          <w:sz w:val="22"/>
          <w:szCs w:val="22"/>
        </w:rPr>
      </w:pPr>
      <w:r>
        <w:rPr>
          <w:rFonts w:ascii="Times New Roman" w:hAnsi="Times New Roman"/>
          <w:b/>
          <w:bCs/>
          <w:sz w:val="22"/>
          <w:szCs w:val="22"/>
        </w:rPr>
        <w:t>1</w:t>
      </w:r>
      <w:r>
        <w:rPr>
          <w:rFonts w:ascii="Times New Roman" w:hAnsi="Times New Roman"/>
          <w:b/>
          <w:bCs/>
          <w:sz w:val="22"/>
          <w:szCs w:val="22"/>
        </w:rPr>
        <w:t>6</w:t>
      </w:r>
      <w:r>
        <w:rPr>
          <w:rFonts w:ascii="Times New Roman" w:hAnsi="Times New Roman"/>
          <w:b/>
          <w:bCs/>
          <w:sz w:val="22"/>
          <w:szCs w:val="22"/>
        </w:rPr>
        <w:t>. DOS RECURSOS ORÇAMENTÁRIOS.</w:t>
      </w:r>
    </w:p>
    <w:p>
      <w:pPr>
        <w:pStyle w:val="LONormal"/>
        <w:jc w:val="both"/>
        <w:rPr>
          <w:rFonts w:ascii="Times New Roman" w:hAnsi="Times New Roman"/>
          <w:sz w:val="22"/>
          <w:szCs w:val="22"/>
        </w:rPr>
      </w:pPr>
      <w:r>
        <w:rPr>
          <w:rFonts w:ascii="Times New Roman" w:hAnsi="Times New Roman"/>
          <w:sz w:val="22"/>
          <w:szCs w:val="22"/>
        </w:rPr>
        <w:t xml:space="preserve">16.1. </w:t>
      </w:r>
      <w:r>
        <w:rPr>
          <w:rFonts w:ascii="Times New Roman" w:hAnsi="Times New Roman"/>
          <w:sz w:val="22"/>
          <w:szCs w:val="22"/>
        </w:rPr>
        <w:t xml:space="preserve"> </w:t>
        <w:tab/>
        <w:t>Caso haja Contratação, a mesma ocorrerá à conta de dotações orçamentárias próprias e específicas do CISMIV, podendo ser as seguintes dotações do exercício de 2023: 01.01.01.10.1422.0001.2001.3.3.90.30.00 (Ficha 088)</w:t>
      </w:r>
    </w:p>
    <w:p>
      <w:pPr>
        <w:pStyle w:val="LONormal"/>
        <w:jc w:val="both"/>
        <w:rPr>
          <w:rFonts w:ascii="Times New Roman" w:hAnsi="Times New Roman"/>
          <w:sz w:val="22"/>
          <w:szCs w:val="22"/>
        </w:rPr>
      </w:pPr>
      <w:r>
        <w:rPr>
          <w:rFonts w:ascii="Times New Roman" w:hAnsi="Times New Roman"/>
          <w:sz w:val="22"/>
          <w:szCs w:val="22"/>
        </w:rPr>
      </w:r>
    </w:p>
    <w:p>
      <w:pPr>
        <w:pStyle w:val="LONormal"/>
        <w:jc w:val="both"/>
        <w:rPr>
          <w:rFonts w:ascii="Times New Roman" w:hAnsi="Times New Roman"/>
          <w:b/>
          <w:b/>
          <w:sz w:val="22"/>
          <w:szCs w:val="22"/>
        </w:rPr>
      </w:pPr>
      <w:r>
        <w:rPr>
          <w:rFonts w:ascii="Times New Roman" w:hAnsi="Times New Roman"/>
          <w:b/>
          <w:sz w:val="22"/>
          <w:szCs w:val="22"/>
        </w:rPr>
      </w:r>
    </w:p>
    <w:p>
      <w:pPr>
        <w:pStyle w:val="LONormal"/>
        <w:jc w:val="both"/>
        <w:rPr>
          <w:rFonts w:ascii="Times New Roman" w:hAnsi="Times New Roman"/>
          <w:b/>
          <w:b/>
          <w:sz w:val="22"/>
          <w:szCs w:val="22"/>
        </w:rPr>
      </w:pPr>
      <w:r>
        <w:rPr>
          <w:rFonts w:ascii="Times New Roman" w:hAnsi="Times New Roman"/>
          <w:b/>
          <w:sz w:val="22"/>
          <w:szCs w:val="22"/>
        </w:rPr>
      </w:r>
    </w:p>
    <w:p>
      <w:pPr>
        <w:pStyle w:val="LONormal"/>
        <w:jc w:val="both"/>
        <w:rPr>
          <w:rStyle w:val="Fontepargpadro"/>
          <w:rFonts w:ascii="Times New Roman" w:hAnsi="Times New Roman"/>
          <w:sz w:val="22"/>
          <w:szCs w:val="22"/>
        </w:rPr>
      </w:pPr>
      <w:r>
        <w:rPr>
          <w:rFonts w:ascii="Times New Roman" w:hAnsi="Times New Roman"/>
          <w:sz w:val="22"/>
          <w:szCs w:val="22"/>
        </w:rPr>
      </w:r>
    </w:p>
    <w:p>
      <w:pPr>
        <w:pStyle w:val="Normal"/>
        <w:ind w:left="360" w:hanging="0"/>
        <w:jc w:val="center"/>
        <w:rPr>
          <w:rFonts w:ascii="Times New Roman" w:hAnsi="Times New Roman"/>
          <w:sz w:val="22"/>
          <w:szCs w:val="22"/>
        </w:rPr>
      </w:pPr>
      <w:r>
        <w:rPr>
          <w:rFonts w:eastAsia="Century Gothic" w:cs="Century Gothic" w:ascii="Times New Roman" w:hAnsi="Times New Roman"/>
          <w:b/>
          <w:sz w:val="22"/>
          <w:szCs w:val="22"/>
        </w:rPr>
        <w:t>__________________________________</w:t>
      </w:r>
    </w:p>
    <w:p>
      <w:pPr>
        <w:pStyle w:val="Normal"/>
        <w:ind w:left="360" w:hanging="0"/>
        <w:jc w:val="center"/>
        <w:rPr>
          <w:rFonts w:ascii="Times New Roman" w:hAnsi="Times New Roman"/>
          <w:sz w:val="22"/>
          <w:szCs w:val="22"/>
        </w:rPr>
      </w:pPr>
      <w:r>
        <w:rPr>
          <w:rFonts w:eastAsia="Century Gothic" w:cs="Century Gothic" w:ascii="Times New Roman" w:hAnsi="Times New Roman"/>
          <w:b/>
          <w:sz w:val="22"/>
          <w:szCs w:val="22"/>
        </w:rPr>
        <w:t>Laí Neida Macedo</w:t>
      </w:r>
    </w:p>
    <w:p>
      <w:pPr>
        <w:pStyle w:val="Normal"/>
        <w:ind w:left="360" w:hanging="0"/>
        <w:jc w:val="center"/>
        <w:rPr>
          <w:rFonts w:ascii="Times New Roman" w:hAnsi="Times New Roman"/>
          <w:sz w:val="22"/>
          <w:szCs w:val="22"/>
        </w:rPr>
      </w:pPr>
      <w:r>
        <w:rPr>
          <w:rFonts w:eastAsia="Century Gothic" w:cs="Century Gothic" w:ascii="Times New Roman" w:hAnsi="Times New Roman"/>
          <w:b/>
          <w:sz w:val="22"/>
          <w:szCs w:val="22"/>
        </w:rPr>
        <w:t>Coordenação Administrativa e Financeiro</w:t>
      </w:r>
    </w:p>
    <w:p>
      <w:pPr>
        <w:pStyle w:val="Normal"/>
        <w:rPr>
          <w:rFonts w:ascii="Times New Roman" w:hAnsi="Times New Roman" w:eastAsia="Century Gothic" w:cs="Century Gothic"/>
          <w:sz w:val="22"/>
          <w:szCs w:val="22"/>
        </w:rPr>
      </w:pPr>
      <w:r>
        <w:rPr>
          <w:rFonts w:eastAsia="Century Gothic" w:cs="Century Gothic" w:ascii="Times New Roman" w:hAnsi="Times New Roman"/>
          <w:sz w:val="22"/>
          <w:szCs w:val="22"/>
        </w:rPr>
      </w:r>
    </w:p>
    <w:p>
      <w:pPr>
        <w:pStyle w:val="Normal"/>
        <w:jc w:val="center"/>
        <w:rPr>
          <w:rFonts w:ascii="Times New Roman" w:hAnsi="Times New Roman" w:eastAsia="Century Gothic" w:cs="Century Gothic"/>
          <w:b/>
          <w:b/>
          <w:sz w:val="22"/>
          <w:szCs w:val="22"/>
        </w:rPr>
      </w:pPr>
      <w:r>
        <w:rPr>
          <w:rFonts w:eastAsia="Century Gothic" w:cs="Century Gothic" w:ascii="Times New Roman" w:hAnsi="Times New Roman"/>
          <w:b/>
          <w:sz w:val="22"/>
          <w:szCs w:val="22"/>
        </w:rPr>
      </w:r>
    </w:p>
    <w:p>
      <w:pPr>
        <w:pStyle w:val="Normal"/>
        <w:jc w:val="center"/>
        <w:rPr>
          <w:rFonts w:ascii="Times New Roman" w:hAnsi="Times New Roman"/>
          <w:sz w:val="22"/>
          <w:szCs w:val="22"/>
        </w:rPr>
      </w:pPr>
      <w:r>
        <w:rPr/>
      </w:r>
    </w:p>
    <w:sectPr>
      <w:headerReference w:type="default" r:id="rId2"/>
      <w:footerReference w:type="default" r:id="rId3"/>
      <w:type w:val="nextPage"/>
      <w:pgSz w:w="11906" w:h="16838"/>
      <w:pgMar w:left="1701" w:right="1134" w:gutter="0" w:header="284" w:top="1418" w:footer="709" w:bottom="1418"/>
      <w:pgNumType w:start="1" w:fmt="decimal"/>
      <w:formProt w:val="false"/>
      <w:textDirection w:val="lrTb"/>
      <w:docGrid w:type="default" w:linePitch="100" w:charSpace="8192"/>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Arial">
    <w:charset w:val="00"/>
    <w:family w:val="roman"/>
    <w:pitch w:val="variable"/>
  </w:font>
  <w:font w:name="Cambria">
    <w:charset w:val="00"/>
    <w:family w:val="roman"/>
    <w:pitch w:val="variable"/>
  </w:font>
  <w:font w:name="Tahoma">
    <w:charset w:val="00"/>
    <w:family w:val="roman"/>
    <w:pitch w:val="variable"/>
  </w:font>
  <w:font w:name="Ecofont_Spranq_eco_Sans">
    <w:charset w:val="00"/>
    <w:family w:val="roman"/>
    <w:pitch w:val="variable"/>
  </w:font>
  <w:font w:name="Liberation Sans">
    <w:altName w:val="Arial"/>
    <w:charset w:val="00"/>
    <w:family w:val="roman"/>
    <w:pitch w:val="variable"/>
  </w:font>
  <w:font w:name="Georgia">
    <w:charset w:val="00"/>
    <w:family w:val="roman"/>
    <w:pitch w:val="variable"/>
  </w:font>
  <w:font w:name="Century Gothic">
    <w:charset w:val="00"/>
    <w:family w:val="roman"/>
    <w:pitch w:val="variable"/>
  </w:font>
  <w:font w:name="Times New Roman">
    <w:charset w:val="01"/>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tabs>
        <w:tab w:val="clear" w:pos="720"/>
        <w:tab w:val="center" w:pos="4252" w:leader="none"/>
        <w:tab w:val="left" w:pos="5760" w:leader="none"/>
        <w:tab w:val="right" w:pos="8504" w:leader="none"/>
      </w:tabs>
      <w:rPr>
        <w:rFonts w:eastAsia="Arial" w:cs="Arial"/>
        <w:color w:val="000000"/>
        <w:szCs w:val="20"/>
      </w:rPr>
    </w:pPr>
    <w:r>
      <w:rPr>
        <w:rFonts w:eastAsia="Arial" w:cs="Arial"/>
        <w:color w:val="000000"/>
        <w:szCs w:val="20"/>
      </w:rPr>
      <w:tab/>
    </w:r>
    <w:r>
      <w:rPr/>
      <w:drawing>
        <wp:inline distT="0" distB="0" distL="0" distR="0">
          <wp:extent cx="5400040" cy="487680"/>
          <wp:effectExtent l="0" t="0" r="0" b="0"/>
          <wp:docPr id="2" name="image1.png"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descr=""/>
                  <pic:cNvPicPr>
                    <a:picLocks noChangeAspect="1" noChangeArrowheads="1"/>
                  </pic:cNvPicPr>
                </pic:nvPicPr>
                <pic:blipFill>
                  <a:blip r:embed="rId1"/>
                  <a:stretch>
                    <a:fillRect/>
                  </a:stretch>
                </pic:blipFill>
                <pic:spPr bwMode="auto">
                  <a:xfrm>
                    <a:off x="0" y="0"/>
                    <a:ext cx="5400040" cy="487680"/>
                  </a:xfrm>
                  <a:prstGeom prst="rect">
                    <a:avLst/>
                  </a:prstGeom>
                </pic:spPr>
              </pic:pic>
            </a:graphicData>
          </a:graphic>
        </wp:inline>
      </w:drawing>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tabs>
        <w:tab w:val="clear" w:pos="720"/>
        <w:tab w:val="center" w:pos="4252" w:leader="none"/>
        <w:tab w:val="right" w:pos="8504" w:leader="none"/>
      </w:tabs>
      <w:jc w:val="center"/>
      <w:rPr>
        <w:rFonts w:eastAsia="Arial" w:cs="Arial"/>
        <w:color w:val="000000"/>
        <w:szCs w:val="20"/>
      </w:rPr>
    </w:pPr>
    <w:r>
      <w:rPr/>
      <w:drawing>
        <wp:inline distT="0" distB="0" distL="0" distR="0">
          <wp:extent cx="4210685" cy="685800"/>
          <wp:effectExtent l="0" t="0" r="0" b="0"/>
          <wp:docPr id="1" name="image2.png"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2.png" descr=""/>
                  <pic:cNvPicPr>
                    <a:picLocks noChangeAspect="1" noChangeArrowheads="1"/>
                  </pic:cNvPicPr>
                </pic:nvPicPr>
                <pic:blipFill>
                  <a:blip r:embed="rId1"/>
                  <a:stretch>
                    <a:fillRect/>
                  </a:stretch>
                </pic:blipFill>
                <pic:spPr bwMode="auto">
                  <a:xfrm>
                    <a:off x="0" y="0"/>
                    <a:ext cx="4210685" cy="685800"/>
                  </a:xfrm>
                  <a:prstGeom prst="rect">
                    <a:avLst/>
                  </a:prstGeom>
                </pic:spPr>
              </pic:pic>
            </a:graphicData>
          </a:graphic>
        </wp:inline>
      </w:drawing>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1070" w:hanging="360"/>
      </w:pPr>
      <w:rPr>
        <w:b/>
        <w:color w:val="000000"/>
      </w:rPr>
    </w:lvl>
    <w:lvl w:ilvl="1">
      <w:start w:val="1"/>
      <w:numFmt w:val="decimal"/>
      <w:lvlText w:val="%1.%2."/>
      <w:lvlJc w:val="left"/>
      <w:pPr>
        <w:tabs>
          <w:tab w:val="num" w:pos="0"/>
        </w:tabs>
        <w:ind w:left="716" w:hanging="432"/>
      </w:pPr>
      <w:rPr>
        <w:dstrike w:val="false"/>
        <w:strike w:val="false"/>
        <w:sz w:val="20"/>
        <w:i w:val="false"/>
        <w:b w:val="false"/>
        <w:szCs w:val="20"/>
        <w:rFonts w:ascii="Century Gothic" w:hAnsi="Century Gothic" w:eastAsia="Century Gothic" w:cs="Century Gothic"/>
        <w:color w:val="000000"/>
      </w:rPr>
    </w:lvl>
    <w:lvl w:ilvl="2">
      <w:start w:val="1"/>
      <w:numFmt w:val="decimal"/>
      <w:lvlText w:val="%1.%2.%3."/>
      <w:lvlJc w:val="left"/>
      <w:pPr>
        <w:tabs>
          <w:tab w:val="num" w:pos="0"/>
        </w:tabs>
        <w:ind w:left="930" w:hanging="504"/>
      </w:pPr>
      <w:rPr>
        <w:dstrike w:val="false"/>
        <w:strike w:val="false"/>
        <w:i w:val="false"/>
        <w:b w:val="false"/>
        <w:color w:val="000000"/>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5"/>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
    <w:lvl w:ilvl="0">
      <w:start w:val="19"/>
      <w:numFmt w:val="decimal"/>
      <w:lvlText w:val="%1."/>
      <w:lvlJc w:val="left"/>
      <w:pPr>
        <w:tabs>
          <w:tab w:val="num" w:pos="0"/>
        </w:tabs>
        <w:ind w:left="360" w:hanging="360"/>
      </w:pPr>
      <w:rPr/>
    </w:lvl>
    <w:lvl w:ilvl="1">
      <w:start w:val="1"/>
      <w:numFmt w:val="decimal"/>
      <w:lvlText w:val="%1.%2."/>
      <w:lvlJc w:val="left"/>
      <w:pPr>
        <w:tabs>
          <w:tab w:val="num" w:pos="0"/>
        </w:tabs>
        <w:ind w:left="792" w:hanging="432"/>
      </w:pPr>
      <w:rPr>
        <w:i w:val="false"/>
        <w:b w:val="false"/>
      </w:rPr>
    </w:lvl>
    <w:lvl w:ilvl="2">
      <w:start w:val="1"/>
      <w:numFmt w:val="lowerLetter"/>
      <w:lvlText w:val="%3)"/>
      <w:lvlJc w:val="left"/>
      <w:pPr>
        <w:tabs>
          <w:tab w:val="num" w:pos="0"/>
        </w:tabs>
        <w:ind w:left="1224" w:hanging="504"/>
      </w:pPr>
      <w:rPr>
        <w:b w:val="false"/>
      </w:rPr>
    </w:lvl>
    <w:lvl w:ilvl="3">
      <w:start w:val="1"/>
      <w:numFmt w:val="decimal"/>
      <w:lvlText w:val="%1.%2.%3.%4."/>
      <w:lvlJc w:val="left"/>
      <w:pPr>
        <w:tabs>
          <w:tab w:val="num" w:pos="0"/>
        </w:tabs>
        <w:ind w:left="1728" w:hanging="647"/>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5"/>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
    <w:lvl w:ilvl="0">
      <w:start w:val="1"/>
      <w:numFmt w:val="decimal"/>
      <w:lvlText w:val="%1)"/>
      <w:lvlJc w:val="left"/>
      <w:pPr>
        <w:tabs>
          <w:tab w:val="num" w:pos="0"/>
        </w:tabs>
        <w:ind w:left="360" w:hanging="360"/>
      </w:pPr>
      <w:rPr/>
    </w:lvl>
    <w:lvl w:ilvl="1">
      <w:start w:val="1"/>
      <w:numFmt w:val="lowerLetter"/>
      <w:lvlText w:val="%2)"/>
      <w:lvlJc w:val="left"/>
      <w:pPr>
        <w:tabs>
          <w:tab w:val="num" w:pos="0"/>
        </w:tabs>
        <w:ind w:left="720" w:hanging="360"/>
      </w:pPr>
      <w:rPr/>
    </w:lvl>
    <w:lvl w:ilvl="2">
      <w:start w:val="1"/>
      <w:numFmt w:val="lowerRoman"/>
      <w:lvlText w:val="%3)"/>
      <w:lvlJc w:val="left"/>
      <w:pPr>
        <w:tabs>
          <w:tab w:val="num" w:pos="0"/>
        </w:tabs>
        <w:ind w:left="1080" w:hanging="360"/>
      </w:pPr>
      <w:rPr/>
    </w:lvl>
    <w:lvl w:ilvl="3">
      <w:start w:val="1"/>
      <w:numFmt w:val="decimal"/>
      <w:lvlText w:val="(%4)"/>
      <w:lvlJc w:val="left"/>
      <w:pPr>
        <w:tabs>
          <w:tab w:val="num" w:pos="0"/>
        </w:tabs>
        <w:ind w:left="1440" w:hanging="360"/>
      </w:pPr>
      <w:rPr/>
    </w:lvl>
    <w:lvl w:ilvl="4">
      <w:start w:val="1"/>
      <w:numFmt w:val="lowerLetter"/>
      <w:lvlText w:val="(%5)"/>
      <w:lvlJc w:val="left"/>
      <w:pPr>
        <w:tabs>
          <w:tab w:val="num" w:pos="0"/>
        </w:tabs>
        <w:ind w:left="1800" w:hanging="360"/>
      </w:pPr>
      <w:rPr/>
    </w:lvl>
    <w:lvl w:ilvl="5">
      <w:start w:val="1"/>
      <w:numFmt w:val="lowerRoman"/>
      <w:lvlText w:val="(%6)"/>
      <w:lvlJc w:val="left"/>
      <w:pPr>
        <w:tabs>
          <w:tab w:val="num" w:pos="0"/>
        </w:tabs>
        <w:ind w:left="2160" w:hanging="360"/>
      </w:pPr>
      <w:rPr/>
    </w:lvl>
    <w:lvl w:ilvl="6">
      <w:start w:val="1"/>
      <w:numFmt w:val="decimal"/>
      <w:lvlText w:val="%7."/>
      <w:lvlJc w:val="left"/>
      <w:pPr>
        <w:tabs>
          <w:tab w:val="num" w:pos="0"/>
        </w:tabs>
        <w:ind w:left="2520" w:hanging="360"/>
      </w:pPr>
      <w:rPr/>
    </w:lvl>
    <w:lvl w:ilvl="7">
      <w:start w:val="1"/>
      <w:numFmt w:val="lowerLetter"/>
      <w:lvlText w:val="%8."/>
      <w:lvlJc w:val="left"/>
      <w:pPr>
        <w:tabs>
          <w:tab w:val="num" w:pos="0"/>
        </w:tabs>
        <w:ind w:left="2880" w:hanging="360"/>
      </w:pPr>
      <w:rPr/>
    </w:lvl>
    <w:lvl w:ilvl="8">
      <w:start w:val="1"/>
      <w:numFmt w:val="lowerRoman"/>
      <w:lvlText w:val="%9."/>
      <w:lvlJc w:val="left"/>
      <w:pPr>
        <w:tabs>
          <w:tab w:val="num" w:pos="0"/>
        </w:tabs>
        <w:ind w:left="3240" w:hanging="360"/>
      </w:pPr>
      <w:rPr/>
    </w:lvl>
  </w:abstractNum>
  <w:abstractNum w:abstractNumId="4">
    <w:lvl w:ilvl="0">
      <w:start w:val="1"/>
      <w:numFmt w:val="decimal"/>
      <w:lvlText w:val="%1."/>
      <w:lvlJc w:val="left"/>
      <w:pPr>
        <w:tabs>
          <w:tab w:val="num" w:pos="0"/>
        </w:tabs>
        <w:ind w:left="1070" w:hanging="360"/>
      </w:pPr>
      <w:rPr>
        <w:b/>
        <w:color w:val="000000"/>
      </w:rPr>
    </w:lvl>
    <w:lvl w:ilvl="1">
      <w:start w:val="1"/>
      <w:numFmt w:val="decimal"/>
      <w:lvlText w:val="%1.%2."/>
      <w:lvlJc w:val="left"/>
      <w:pPr>
        <w:tabs>
          <w:tab w:val="num" w:pos="0"/>
        </w:tabs>
        <w:ind w:left="716" w:hanging="432"/>
      </w:pPr>
      <w:rPr>
        <w:dstrike w:val="false"/>
        <w:strike w:val="false"/>
        <w:sz w:val="20"/>
        <w:i w:val="false"/>
        <w:b w:val="false"/>
        <w:szCs w:val="20"/>
        <w:rFonts w:ascii="Century Gothic" w:hAnsi="Century Gothic" w:eastAsia="Century Gothic" w:cs="Century Gothic"/>
        <w:color w:val="000000"/>
      </w:rPr>
    </w:lvl>
    <w:lvl w:ilvl="2">
      <w:start w:val="1"/>
      <w:numFmt w:val="decimal"/>
      <w:lvlText w:val="%1.%2.%3."/>
      <w:lvlJc w:val="left"/>
      <w:pPr>
        <w:tabs>
          <w:tab w:val="num" w:pos="0"/>
        </w:tabs>
        <w:ind w:left="930" w:hanging="504"/>
      </w:pPr>
      <w:rPr>
        <w:dstrike w:val="false"/>
        <w:strike w:val="false"/>
        <w:i w:val="false"/>
        <w:b w:val="false"/>
        <w:color w:val="000000"/>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5"/>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
    <w:lvl w:ilvl="0">
      <w:start w:val="15"/>
      <w:numFmt w:val="decimal"/>
      <w:lvlText w:val="%1."/>
      <w:lvlJc w:val="left"/>
      <w:pPr>
        <w:tabs>
          <w:tab w:val="num" w:pos="0"/>
        </w:tabs>
        <w:ind w:left="435" w:hanging="435"/>
      </w:pPr>
      <w:rPr>
        <w:sz w:val="20"/>
      </w:rPr>
    </w:lvl>
    <w:lvl w:ilvl="1">
      <w:start w:val="1"/>
      <w:numFmt w:val="decimal"/>
      <w:lvlText w:val="%1.%2."/>
      <w:lvlJc w:val="left"/>
      <w:pPr>
        <w:tabs>
          <w:tab w:val="num" w:pos="0"/>
        </w:tabs>
        <w:ind w:left="719" w:hanging="435"/>
      </w:pPr>
      <w:rPr>
        <w:sz w:val="20"/>
        <w:rFonts w:ascii="Times New Roman" w:hAnsi="Times New Roman"/>
      </w:rPr>
    </w:lvl>
    <w:lvl w:ilvl="2">
      <w:start w:val="1"/>
      <w:numFmt w:val="decimal"/>
      <w:lvlText w:val="%1.%2.%3."/>
      <w:lvlJc w:val="left"/>
      <w:pPr>
        <w:tabs>
          <w:tab w:val="num" w:pos="0"/>
        </w:tabs>
        <w:ind w:left="1288" w:hanging="720"/>
      </w:pPr>
      <w:rPr>
        <w:sz w:val="20"/>
      </w:rPr>
    </w:lvl>
    <w:lvl w:ilvl="3">
      <w:start w:val="1"/>
      <w:numFmt w:val="decimal"/>
      <w:lvlText w:val="%1.%2.%3.%4."/>
      <w:lvlJc w:val="left"/>
      <w:pPr>
        <w:tabs>
          <w:tab w:val="num" w:pos="0"/>
        </w:tabs>
        <w:ind w:left="1572" w:hanging="720"/>
      </w:pPr>
      <w:rPr>
        <w:sz w:val="20"/>
      </w:rPr>
    </w:lvl>
    <w:lvl w:ilvl="4">
      <w:start w:val="1"/>
      <w:numFmt w:val="decimal"/>
      <w:lvlText w:val="%1.%2.%3.%4.%5."/>
      <w:lvlJc w:val="left"/>
      <w:pPr>
        <w:tabs>
          <w:tab w:val="num" w:pos="0"/>
        </w:tabs>
        <w:ind w:left="2216" w:hanging="1080"/>
      </w:pPr>
      <w:rPr>
        <w:sz w:val="20"/>
      </w:rPr>
    </w:lvl>
    <w:lvl w:ilvl="5">
      <w:start w:val="1"/>
      <w:numFmt w:val="decimal"/>
      <w:lvlText w:val="%1.%2.%3.%4.%5.%6."/>
      <w:lvlJc w:val="left"/>
      <w:pPr>
        <w:tabs>
          <w:tab w:val="num" w:pos="0"/>
        </w:tabs>
        <w:ind w:left="2500" w:hanging="1080"/>
      </w:pPr>
      <w:rPr>
        <w:sz w:val="20"/>
      </w:rPr>
    </w:lvl>
    <w:lvl w:ilvl="6">
      <w:start w:val="1"/>
      <w:numFmt w:val="decimal"/>
      <w:lvlText w:val="%1.%2.%3.%4.%5.%6.%7."/>
      <w:lvlJc w:val="left"/>
      <w:pPr>
        <w:tabs>
          <w:tab w:val="num" w:pos="0"/>
        </w:tabs>
        <w:ind w:left="3144" w:hanging="1440"/>
      </w:pPr>
      <w:rPr>
        <w:sz w:val="20"/>
      </w:rPr>
    </w:lvl>
    <w:lvl w:ilvl="7">
      <w:start w:val="1"/>
      <w:numFmt w:val="decimal"/>
      <w:lvlText w:val="%1.%2.%3.%4.%5.%6.%7.%8."/>
      <w:lvlJc w:val="left"/>
      <w:pPr>
        <w:tabs>
          <w:tab w:val="num" w:pos="0"/>
        </w:tabs>
        <w:ind w:left="3428" w:hanging="1440"/>
      </w:pPr>
      <w:rPr>
        <w:sz w:val="20"/>
      </w:rPr>
    </w:lvl>
    <w:lvl w:ilvl="8">
      <w:start w:val="1"/>
      <w:numFmt w:val="decimal"/>
      <w:lvlText w:val="%1.%2.%3.%4.%5.%6.%7.%8.%9."/>
      <w:lvlJc w:val="left"/>
      <w:pPr>
        <w:tabs>
          <w:tab w:val="num" w:pos="0"/>
        </w:tabs>
        <w:ind w:left="3712" w:hanging="1440"/>
      </w:pPr>
      <w:rPr>
        <w:sz w:val="20"/>
      </w:rPr>
    </w:lvl>
  </w:abstractNum>
  <w:abstractNum w:abstractNumId="6">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w="http://schemas.openxmlformats.org/wordprocessingml/2006/main">
  <w:zoom w:percent="90"/>
  <w:defaultTabStop w:val="720"/>
  <w:autoHyphenation w:val="tru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themeFontLang w:val="pt-BR"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Arial" w:hAnsi="Arial" w:eastAsia="Arial" w:cs="Arial"/>
        <w:lang w:val="pt-BR" w:eastAsia="pt-BR" w:bidi="ar-SA"/>
      </w:rPr>
    </w:rPrDefault>
    <w:pPrDefault>
      <w:pPr>
        <w:suppressAutoHyphens w:val="true"/>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pPr>
      <w:widowControl/>
      <w:suppressAutoHyphens w:val="true"/>
      <w:bidi w:val="0"/>
      <w:spacing w:before="0" w:after="0"/>
      <w:jc w:val="left"/>
    </w:pPr>
    <w:rPr>
      <w:rFonts w:ascii="Arial" w:hAnsi="Arial" w:eastAsia="Times New Roman" w:cs="Tahoma"/>
      <w:color w:val="auto"/>
      <w:kern w:val="0"/>
      <w:sz w:val="20"/>
      <w:szCs w:val="24"/>
      <w:lang w:val="pt-BR" w:eastAsia="pt-BR" w:bidi="ar-SA"/>
    </w:rPr>
  </w:style>
  <w:style w:type="paragraph" w:styleId="Ttulo1">
    <w:name w:val="Heading 1"/>
    <w:basedOn w:val="Normal"/>
    <w:next w:val="Normal"/>
    <w:link w:val="Ttulo1Char"/>
    <w:qFormat/>
    <w:pPr>
      <w:keepNext w:val="true"/>
      <w:keepLines/>
      <w:spacing w:before="240" w:after="0"/>
      <w:outlineLvl w:val="0"/>
    </w:pPr>
    <w:rPr>
      <w:rFonts w:ascii="Cambria" w:hAnsi="Cambria" w:eastAsia="" w:cs="" w:asciiTheme="majorHAnsi" w:cstheme="majorBidi" w:eastAsiaTheme="majorEastAsia" w:hAnsiTheme="majorHAnsi"/>
      <w:color w:val="365F91" w:themeColor="accent1" w:themeShade="bf"/>
      <w:sz w:val="32"/>
      <w:szCs w:val="32"/>
    </w:rPr>
  </w:style>
  <w:style w:type="paragraph" w:styleId="Ttulo2">
    <w:name w:val="Heading 2"/>
    <w:basedOn w:val="Normal"/>
    <w:next w:val="Normal"/>
    <w:link w:val="Ttulo2Char"/>
    <w:qFormat/>
    <w:pPr>
      <w:keepNext w:val="true"/>
      <w:tabs>
        <w:tab w:val="clear" w:pos="720"/>
        <w:tab w:val="left" w:pos="1701" w:leader="none"/>
      </w:tabs>
      <w:ind w:right="-1" w:hanging="0"/>
      <w:jc w:val="center"/>
      <w:outlineLvl w:val="1"/>
    </w:pPr>
    <w:rPr>
      <w:rFonts w:ascii="Times New Roman" w:hAnsi="Times New Roman" w:cs="Times New Roman"/>
      <w:b/>
      <w:color w:val="000000"/>
      <w:szCs w:val="20"/>
    </w:rPr>
  </w:style>
  <w:style w:type="paragraph" w:styleId="Ttulo3">
    <w:name w:val="Heading 3"/>
    <w:basedOn w:val="Normal"/>
    <w:next w:val="Normal"/>
    <w:qFormat/>
    <w:pPr>
      <w:keepNext w:val="true"/>
      <w:keepLines/>
      <w:spacing w:before="280" w:after="80"/>
      <w:outlineLvl w:val="2"/>
    </w:pPr>
    <w:rPr>
      <w:b/>
      <w:sz w:val="28"/>
      <w:szCs w:val="28"/>
    </w:rPr>
  </w:style>
  <w:style w:type="paragraph" w:styleId="Ttulo4">
    <w:name w:val="Heading 4"/>
    <w:basedOn w:val="Normal"/>
    <w:next w:val="Normal"/>
    <w:qFormat/>
    <w:pPr>
      <w:keepNext w:val="true"/>
      <w:keepLines/>
      <w:spacing w:before="240" w:after="40"/>
      <w:outlineLvl w:val="3"/>
    </w:pPr>
    <w:rPr>
      <w:b/>
      <w:sz w:val="24"/>
    </w:rPr>
  </w:style>
  <w:style w:type="paragraph" w:styleId="Ttulo5">
    <w:name w:val="Heading 5"/>
    <w:basedOn w:val="Normal"/>
    <w:next w:val="Normal"/>
    <w:qFormat/>
    <w:pPr>
      <w:keepNext w:val="true"/>
      <w:keepLines/>
      <w:spacing w:before="220" w:after="40"/>
      <w:outlineLvl w:val="4"/>
    </w:pPr>
    <w:rPr>
      <w:b/>
      <w:sz w:val="22"/>
      <w:szCs w:val="22"/>
    </w:rPr>
  </w:style>
  <w:style w:type="paragraph" w:styleId="Ttulo6">
    <w:name w:val="Heading 6"/>
    <w:basedOn w:val="Normal"/>
    <w:next w:val="Normal"/>
    <w:qFormat/>
    <w:pPr>
      <w:keepNext w:val="true"/>
      <w:keepLines/>
      <w:spacing w:before="200" w:after="40"/>
      <w:outlineLvl w:val="5"/>
    </w:pPr>
    <w:rPr>
      <w:b/>
      <w:szCs w:val="20"/>
    </w:rPr>
  </w:style>
  <w:style w:type="character" w:styleId="DefaultParagraphFont" w:default="1">
    <w:name w:val="Default Paragraph Font"/>
    <w:uiPriority w:val="1"/>
    <w:semiHidden/>
    <w:unhideWhenUsed/>
    <w:qFormat/>
    <w:rPr/>
  </w:style>
  <w:style w:type="character" w:styleId="Annotationreference">
    <w:name w:val="annotation reference"/>
    <w:basedOn w:val="DefaultParagraphFont"/>
    <w:semiHidden/>
    <w:unhideWhenUsed/>
    <w:qFormat/>
    <w:rPr>
      <w:sz w:val="18"/>
      <w:szCs w:val="18"/>
    </w:rPr>
  </w:style>
  <w:style w:type="character" w:styleId="Nfase">
    <w:name w:val="Emphasis"/>
    <w:basedOn w:val="DefaultParagraphFont"/>
    <w:uiPriority w:val="20"/>
    <w:qFormat/>
    <w:rPr>
      <w:i/>
      <w:iCs/>
    </w:rPr>
  </w:style>
  <w:style w:type="character" w:styleId="LinkdaInternet">
    <w:name w:val="Hyperlink"/>
    <w:rPr>
      <w:color w:val="000080"/>
      <w:u w:val="single"/>
    </w:rPr>
  </w:style>
  <w:style w:type="character" w:styleId="Strong">
    <w:name w:val="Strong"/>
    <w:basedOn w:val="DefaultParagraphFont"/>
    <w:uiPriority w:val="22"/>
    <w:qFormat/>
    <w:rPr>
      <w:b/>
      <w:bCs/>
    </w:rPr>
  </w:style>
  <w:style w:type="character" w:styleId="TextodebaloChar" w:customStyle="1">
    <w:name w:val="Texto de balão Char"/>
    <w:link w:val="BalloonText"/>
    <w:qFormat/>
    <w:rPr>
      <w:rFonts w:ascii="Tahoma" w:hAnsi="Tahoma" w:cs="Tahoma"/>
      <w:sz w:val="16"/>
      <w:szCs w:val="16"/>
    </w:rPr>
  </w:style>
  <w:style w:type="character" w:styleId="Ttulo2Char" w:customStyle="1">
    <w:name w:val="Título 2 Char"/>
    <w:qFormat/>
    <w:rPr>
      <w:b/>
      <w:color w:val="000000"/>
      <w:sz w:val="24"/>
    </w:rPr>
  </w:style>
  <w:style w:type="character" w:styleId="Normalchar1" w:customStyle="1">
    <w:name w:val="normal__char1"/>
    <w:qFormat/>
    <w:rPr>
      <w:rFonts w:ascii="Arial" w:hAnsi="Arial" w:cs="Arial"/>
      <w:sz w:val="24"/>
      <w:szCs w:val="24"/>
      <w:u w:val="none"/>
    </w:rPr>
  </w:style>
  <w:style w:type="character" w:styleId="Applestylespan" w:customStyle="1">
    <w:name w:val="apple-style-span"/>
    <w:basedOn w:val="DefaultParagraphFont"/>
    <w:qFormat/>
    <w:rPr/>
  </w:style>
  <w:style w:type="character" w:styleId="CitaoChar" w:customStyle="1">
    <w:name w:val="Citação Char"/>
    <w:link w:val="Quote"/>
    <w:qFormat/>
    <w:rPr>
      <w:rFonts w:ascii="Ecofont_Spranq_eco_Sans" w:hAnsi="Ecofont_Spranq_eco_Sans" w:eastAsia="Calibri" w:cs="Tahoma"/>
      <w:i/>
      <w:iCs/>
      <w:color w:val="000000"/>
      <w:szCs w:val="24"/>
      <w:shd w:fill="FFFFCC" w:val="clear"/>
      <w:lang w:eastAsia="en-US"/>
    </w:rPr>
  </w:style>
  <w:style w:type="character" w:styleId="Citao2Char" w:customStyle="1">
    <w:name w:val="citação 2 Char"/>
    <w:basedOn w:val="CitaoChar"/>
    <w:link w:val="Citao2"/>
    <w:qFormat/>
    <w:rPr>
      <w:rFonts w:ascii="Ecofont_Spranq_eco_Sans" w:hAnsi="Ecofont_Spranq_eco_Sans" w:eastAsia="Calibri" w:cs="Tahoma"/>
      <w:i/>
      <w:iCs/>
      <w:color w:val="000000"/>
      <w:szCs w:val="24"/>
      <w:shd w:fill="FFFFCC" w:val="clear"/>
      <w:lang w:eastAsia="en-US"/>
    </w:rPr>
  </w:style>
  <w:style w:type="character" w:styleId="GradeColoridanfase1Char" w:customStyle="1">
    <w:name w:val="Grade Colorida - Ênfase 1 Char"/>
    <w:link w:val="GradeColoridanfase11"/>
    <w:uiPriority w:val="29"/>
    <w:qFormat/>
    <w:rPr>
      <w:rFonts w:ascii="Ecofont_Spranq_eco_Sans" w:hAnsi="Ecofont_Spranq_eco_Sans" w:eastAsia="Calibri"/>
      <w:i/>
      <w:iCs/>
      <w:color w:val="000000"/>
      <w:szCs w:val="24"/>
      <w:shd w:fill="FFFFCC" w:val="clear"/>
      <w:lang w:val="zh-CN" w:eastAsia="en-US"/>
    </w:rPr>
  </w:style>
  <w:style w:type="character" w:styleId="CabealhoChar" w:customStyle="1">
    <w:name w:val="Cabeçalho Char"/>
    <w:basedOn w:val="DefaultParagraphFont"/>
    <w:qFormat/>
    <w:rPr>
      <w:rFonts w:ascii="Ecofont_Spranq_eco_Sans" w:hAnsi="Ecofont_Spranq_eco_Sans" w:cs="Tahoma"/>
      <w:sz w:val="24"/>
      <w:szCs w:val="24"/>
    </w:rPr>
  </w:style>
  <w:style w:type="character" w:styleId="RodapChar" w:customStyle="1">
    <w:name w:val="Rodapé Char"/>
    <w:basedOn w:val="DefaultParagraphFont"/>
    <w:uiPriority w:val="99"/>
    <w:qFormat/>
    <w:rPr>
      <w:rFonts w:ascii="Ecofont_Spranq_eco_Sans" w:hAnsi="Ecofont_Spranq_eco_Sans" w:cs="Tahoma"/>
      <w:sz w:val="24"/>
      <w:szCs w:val="24"/>
    </w:rPr>
  </w:style>
  <w:style w:type="character" w:styleId="Ttulo1Char" w:customStyle="1">
    <w:name w:val="Título 1 Char"/>
    <w:basedOn w:val="DefaultParagraphFont"/>
    <w:qFormat/>
    <w:rPr>
      <w:rFonts w:ascii="Cambria" w:hAnsi="Cambria" w:eastAsia="" w:cs="" w:asciiTheme="majorHAnsi" w:cstheme="majorBidi" w:eastAsiaTheme="majorEastAsia" w:hAnsiTheme="majorHAnsi"/>
      <w:color w:val="365F91" w:themeColor="accent1" w:themeShade="bf"/>
      <w:sz w:val="32"/>
      <w:szCs w:val="32"/>
    </w:rPr>
  </w:style>
  <w:style w:type="character" w:styleId="Nivel1Char" w:customStyle="1">
    <w:name w:val="Nivel1 Char"/>
    <w:basedOn w:val="Ttulo1Char"/>
    <w:link w:val="Nivel1"/>
    <w:qFormat/>
    <w:rPr>
      <w:rFonts w:ascii="Arial" w:hAnsi="Arial" w:eastAsia="" w:cs="Arial" w:eastAsiaTheme="majorEastAsia"/>
      <w:b/>
      <w:color w:val="000000"/>
      <w:sz w:val="32"/>
      <w:szCs w:val="32"/>
    </w:rPr>
  </w:style>
  <w:style w:type="character" w:styleId="TextodecomentrioChar" w:customStyle="1">
    <w:name w:val="Texto de comentário Char"/>
    <w:basedOn w:val="DefaultParagraphFont"/>
    <w:link w:val="Annotationtext"/>
    <w:qFormat/>
    <w:rPr>
      <w:rFonts w:ascii="Arial" w:hAnsi="Arial" w:cs="Tahoma"/>
      <w:sz w:val="24"/>
      <w:szCs w:val="24"/>
    </w:rPr>
  </w:style>
  <w:style w:type="character" w:styleId="AssuntodocomentrioChar" w:customStyle="1">
    <w:name w:val="Assunto do comentário Char"/>
    <w:basedOn w:val="TextodecomentrioChar"/>
    <w:link w:val="Annotationsubject"/>
    <w:semiHidden/>
    <w:qFormat/>
    <w:rPr>
      <w:rFonts w:ascii="Arial" w:hAnsi="Arial" w:cs="Tahoma"/>
      <w:b/>
      <w:bCs/>
      <w:sz w:val="24"/>
      <w:szCs w:val="24"/>
    </w:rPr>
  </w:style>
  <w:style w:type="character" w:styleId="Nivel01Char" w:customStyle="1">
    <w:name w:val="Nivel 01 Char"/>
    <w:basedOn w:val="DefaultParagraphFont"/>
    <w:link w:val="Nivel01"/>
    <w:qFormat/>
    <w:rPr>
      <w:rFonts w:ascii="Ecofont_Spranq_eco_Sans" w:hAnsi="Ecofont_Spranq_eco_Sans" w:eastAsia="" w:eastAsiaTheme="majorEastAsia"/>
      <w:b/>
      <w:bCs/>
      <w:color w:val="000000"/>
    </w:rPr>
  </w:style>
  <w:style w:type="character" w:styleId="Nivel01Char1" w:customStyle="1">
    <w:name w:val="Nivel_01 Char"/>
    <w:basedOn w:val="Ttulo1Char"/>
    <w:link w:val="Nivel011"/>
    <w:qFormat/>
    <w:rPr>
      <w:rFonts w:ascii="Ecofont_Spranq_eco_Sans" w:hAnsi="Ecofont_Spranq_eco_Sans" w:eastAsia="" w:cs="" w:cstheme="majorBidi" w:eastAsiaTheme="majorEastAsia"/>
      <w:b/>
      <w:bCs/>
      <w:color w:val="365F91" w:themeColor="accent1" w:themeShade="bf"/>
      <w:sz w:val="32"/>
      <w:szCs w:val="32"/>
    </w:rPr>
  </w:style>
  <w:style w:type="character" w:styleId="Nivel2Char" w:customStyle="1">
    <w:name w:val="Nivel 2 Char"/>
    <w:basedOn w:val="DefaultParagraphFont"/>
    <w:link w:val="Nivel2"/>
    <w:qFormat/>
    <w:rPr>
      <w:rFonts w:ascii="Ecofont_Spranq_eco_Sans" w:hAnsi="Ecofont_Spranq_eco_Sans" w:eastAsia="Arial Unicode MS"/>
    </w:rPr>
  </w:style>
  <w:style w:type="character" w:styleId="QuoteChar" w:customStyle="1">
    <w:name w:val="Quote Char"/>
    <w:link w:val="Citao1"/>
    <w:qFormat/>
    <w:rPr>
      <w:rFonts w:ascii="Ecofont_Spranq_eco_Sans" w:hAnsi="Ecofont_Spranq_eco_Sans" w:cs="Ecofont_Spranq_eco_Sans"/>
      <w:i/>
      <w:iCs/>
      <w:color w:val="000000"/>
      <w:sz w:val="24"/>
      <w:szCs w:val="24"/>
      <w:shd w:fill="FFFFCC" w:val="clear"/>
      <w:lang w:eastAsia="en-US"/>
    </w:rPr>
  </w:style>
  <w:style w:type="character" w:styleId="Appleconvertedspace" w:customStyle="1">
    <w:name w:val="apple-converted-space"/>
    <w:basedOn w:val="DefaultParagraphFont"/>
    <w:qFormat/>
    <w:rPr/>
  </w:style>
  <w:style w:type="character" w:styleId="Scaytmisspellword" w:customStyle="1">
    <w:name w:val="scayt-misspell-word"/>
    <w:basedOn w:val="DefaultParagraphFont"/>
    <w:qFormat/>
    <w:rPr/>
  </w:style>
  <w:style w:type="character" w:styleId="Ngstarinserted" w:customStyle="1">
    <w:name w:val="ng-star-inserted"/>
    <w:basedOn w:val="DefaultParagraphFont"/>
    <w:qFormat/>
    <w:rPr/>
  </w:style>
  <w:style w:type="character" w:styleId="Fontepargpadro">
    <w:name w:val="Fonte parág. padrão"/>
    <w:qFormat/>
    <w:rPr/>
  </w:style>
  <w:style w:type="paragraph" w:styleId="Ttulo">
    <w:name w:val="Título"/>
    <w:basedOn w:val="Normal"/>
    <w:next w:val="Corpodotexto"/>
    <w:qFormat/>
    <w:pPr>
      <w:keepNext w:val="true"/>
      <w:spacing w:before="240" w:after="120"/>
    </w:pPr>
    <w:rPr>
      <w:rFonts w:ascii="Liberation Sans" w:hAnsi="Liberation Sans" w:eastAsia="Microsoft YaHei" w:cs="Mangal"/>
      <w:sz w:val="28"/>
      <w:szCs w:val="28"/>
    </w:rPr>
  </w:style>
  <w:style w:type="paragraph" w:styleId="Corpodotexto">
    <w:name w:val="Body Text"/>
    <w:basedOn w:val="Normal"/>
    <w:pPr>
      <w:spacing w:lineRule="auto" w:line="276" w:before="0" w:after="140"/>
    </w:pPr>
    <w:rPr/>
  </w:style>
  <w:style w:type="paragraph" w:styleId="Lista">
    <w:name w:val="List"/>
    <w:basedOn w:val="Corpodotexto"/>
    <w:pPr/>
    <w:rPr>
      <w:rFonts w:cs="Mangal"/>
    </w:rPr>
  </w:style>
  <w:style w:type="paragraph" w:styleId="Legenda">
    <w:name w:val="Caption"/>
    <w:basedOn w:val="Normal"/>
    <w:qFormat/>
    <w:pPr>
      <w:suppressLineNumbers/>
      <w:spacing w:before="120" w:after="120"/>
    </w:pPr>
    <w:rPr>
      <w:rFonts w:cs="Mangal"/>
      <w:i/>
      <w:iCs/>
      <w:sz w:val="24"/>
      <w:szCs w:val="24"/>
    </w:rPr>
  </w:style>
  <w:style w:type="paragraph" w:styleId="Ndice">
    <w:name w:val="Índice"/>
    <w:basedOn w:val="Normal"/>
    <w:qFormat/>
    <w:pPr>
      <w:suppressLineNumbers/>
    </w:pPr>
    <w:rPr>
      <w:rFonts w:cs="Mangal"/>
    </w:rPr>
  </w:style>
  <w:style w:type="paragraph" w:styleId="Ttulododocumento">
    <w:name w:val="Title"/>
    <w:basedOn w:val="Normal"/>
    <w:next w:val="Normal"/>
    <w:qFormat/>
    <w:pPr>
      <w:keepNext w:val="true"/>
      <w:keepLines/>
      <w:spacing w:before="480" w:after="120"/>
    </w:pPr>
    <w:rPr>
      <w:b/>
      <w:sz w:val="72"/>
      <w:szCs w:val="72"/>
    </w:rPr>
  </w:style>
  <w:style w:type="paragraph" w:styleId="BalloonText">
    <w:name w:val="Balloon Text"/>
    <w:basedOn w:val="Normal"/>
    <w:link w:val="TextodebaloChar"/>
    <w:qFormat/>
    <w:pPr/>
    <w:rPr>
      <w:rFonts w:ascii="Tahoma" w:hAnsi="Tahoma"/>
      <w:sz w:val="16"/>
      <w:szCs w:val="16"/>
    </w:rPr>
  </w:style>
  <w:style w:type="paragraph" w:styleId="Annotationtext">
    <w:name w:val="annotation text"/>
    <w:basedOn w:val="Normal"/>
    <w:link w:val="TextodecomentrioChar"/>
    <w:unhideWhenUsed/>
    <w:qFormat/>
    <w:pPr/>
    <w:rPr>
      <w:sz w:val="24"/>
    </w:rPr>
  </w:style>
  <w:style w:type="paragraph" w:styleId="Annotationsubject">
    <w:name w:val="annotation subject"/>
    <w:basedOn w:val="Annotationtext"/>
    <w:next w:val="Annotationtext"/>
    <w:link w:val="AssuntodocomentrioChar"/>
    <w:semiHidden/>
    <w:unhideWhenUsed/>
    <w:qFormat/>
    <w:pPr/>
    <w:rPr>
      <w:b/>
      <w:bCs/>
      <w:sz w:val="20"/>
      <w:szCs w:val="20"/>
    </w:rPr>
  </w:style>
  <w:style w:type="paragraph" w:styleId="CabealhoeRodap">
    <w:name w:val="Cabeçalho e Rodapé"/>
    <w:basedOn w:val="Normal"/>
    <w:qFormat/>
    <w:pPr/>
    <w:rPr/>
  </w:style>
  <w:style w:type="paragraph" w:styleId="Rodap">
    <w:name w:val="Footer"/>
    <w:basedOn w:val="Normal"/>
    <w:link w:val="RodapChar"/>
    <w:uiPriority w:val="99"/>
    <w:unhideWhenUsed/>
    <w:pPr>
      <w:tabs>
        <w:tab w:val="clear" w:pos="720"/>
        <w:tab w:val="center" w:pos="4252" w:leader="none"/>
        <w:tab w:val="right" w:pos="8504" w:leader="none"/>
      </w:tabs>
    </w:pPr>
    <w:rPr/>
  </w:style>
  <w:style w:type="paragraph" w:styleId="Cabealho">
    <w:name w:val="Header"/>
    <w:basedOn w:val="Normal"/>
    <w:link w:val="CabealhoChar"/>
    <w:unhideWhenUsed/>
    <w:pPr>
      <w:tabs>
        <w:tab w:val="clear" w:pos="720"/>
        <w:tab w:val="center" w:pos="4252" w:leader="none"/>
        <w:tab w:val="right" w:pos="8504" w:leader="none"/>
      </w:tabs>
    </w:pPr>
    <w:rPr/>
  </w:style>
  <w:style w:type="paragraph" w:styleId="ListBullet5">
    <w:name w:val="List Bullet 5"/>
    <w:basedOn w:val="Normal"/>
    <w:qFormat/>
    <w:pPr>
      <w:numPr>
        <w:ilvl w:val="0"/>
        <w:numId w:val="1"/>
      </w:numPr>
      <w:spacing w:before="0" w:after="0"/>
      <w:contextualSpacing/>
    </w:pPr>
    <w:rPr/>
  </w:style>
  <w:style w:type="paragraph" w:styleId="NormalWeb">
    <w:name w:val="Normal (Web)"/>
    <w:basedOn w:val="Normal"/>
    <w:uiPriority w:val="99"/>
    <w:qFormat/>
    <w:pPr>
      <w:spacing w:beforeAutospacing="1" w:afterAutospacing="1"/>
    </w:pPr>
    <w:rPr>
      <w:rFonts w:ascii="Times New Roman" w:hAnsi="Times New Roman" w:cs="Times New Roman"/>
    </w:rPr>
  </w:style>
  <w:style w:type="paragraph" w:styleId="ListParagraph">
    <w:name w:val="List Paragraph"/>
    <w:basedOn w:val="Normal"/>
    <w:uiPriority w:val="34"/>
    <w:qFormat/>
    <w:pPr>
      <w:spacing w:before="0" w:after="0"/>
      <w:ind w:left="720" w:hanging="0"/>
      <w:contextualSpacing/>
    </w:pPr>
    <w:rPr/>
  </w:style>
  <w:style w:type="paragraph" w:styleId="Nvel2" w:customStyle="1">
    <w:name w:val="Nível 2"/>
    <w:basedOn w:val="Normal"/>
    <w:next w:val="Normal"/>
    <w:qFormat/>
    <w:pPr>
      <w:spacing w:before="0" w:after="120"/>
      <w:jc w:val="both"/>
    </w:pPr>
    <w:rPr>
      <w:rFonts w:cs="Times New Roman"/>
      <w:b/>
      <w:szCs w:val="20"/>
    </w:rPr>
  </w:style>
  <w:style w:type="paragraph" w:styleId="Quote">
    <w:name w:val="Quote"/>
    <w:basedOn w:val="Normal"/>
    <w:next w:val="Normal"/>
    <w:link w:val="CitaoChar"/>
    <w:qFormat/>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eastAsia="Calibri"/>
      <w:i/>
      <w:iCs/>
      <w:color w:val="000000"/>
      <w:lang w:eastAsia="en-US"/>
    </w:rPr>
  </w:style>
  <w:style w:type="paragraph" w:styleId="Citao2" w:customStyle="1">
    <w:name w:val="citação 2"/>
    <w:basedOn w:val="Quote"/>
    <w:link w:val="Citao2Char"/>
    <w:qFormat/>
    <w:pPr/>
    <w:rPr>
      <w:szCs w:val="20"/>
    </w:rPr>
  </w:style>
  <w:style w:type="paragraph" w:styleId="GradeColoridanfase11" w:customStyle="1">
    <w:name w:val="Grade Colorida - Ênfase 11"/>
    <w:basedOn w:val="Normal"/>
    <w:next w:val="Normal"/>
    <w:link w:val="GradeColoridanfase1Char"/>
    <w:uiPriority w:val="29"/>
    <w:qFormat/>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eastAsia="Calibri" w:cs="Times New Roman"/>
      <w:i/>
      <w:iCs/>
      <w:color w:val="000000"/>
      <w:lang w:val="zh-CN" w:eastAsia="en-US"/>
    </w:rPr>
  </w:style>
  <w:style w:type="paragraph" w:styleId="Nivel1" w:customStyle="1">
    <w:name w:val="Nivel1"/>
    <w:basedOn w:val="Ttulo1"/>
    <w:next w:val="Normal"/>
    <w:link w:val="Nivel1Char"/>
    <w:qFormat/>
    <w:pPr>
      <w:numPr>
        <w:ilvl w:val="0"/>
        <w:numId w:val="2"/>
      </w:numPr>
      <w:spacing w:lineRule="auto" w:line="276" w:before="480" w:after="120"/>
      <w:jc w:val="both"/>
    </w:pPr>
    <w:rPr>
      <w:rFonts w:ascii="Arial" w:hAnsi="Arial" w:cs="Arial"/>
      <w:b/>
      <w:color w:val="000000"/>
      <w:sz w:val="20"/>
      <w:szCs w:val="20"/>
    </w:rPr>
  </w:style>
  <w:style w:type="paragraph" w:styleId="Nivel01" w:customStyle="1">
    <w:name w:val="Nivel 01"/>
    <w:basedOn w:val="Ttulo1"/>
    <w:next w:val="Normal"/>
    <w:link w:val="Nivel01Char"/>
    <w:qFormat/>
    <w:pPr>
      <w:tabs>
        <w:tab w:val="clear" w:pos="720"/>
        <w:tab w:val="left" w:pos="567" w:leader="none"/>
      </w:tabs>
      <w:jc w:val="both"/>
    </w:pPr>
    <w:rPr>
      <w:rFonts w:ascii="Ecofont_Spranq_eco_Sans" w:hAnsi="Ecofont_Spranq_eco_Sans" w:cs="Times New Roman"/>
      <w:b/>
      <w:bCs/>
      <w:color w:val="000000"/>
      <w:sz w:val="20"/>
      <w:szCs w:val="20"/>
    </w:rPr>
  </w:style>
  <w:style w:type="paragraph" w:styleId="Nivel011" w:customStyle="1">
    <w:name w:val="Nivel_01"/>
    <w:basedOn w:val="Ttulo1"/>
    <w:link w:val="Nivel01Char1"/>
    <w:qFormat/>
    <w:pPr>
      <w:tabs>
        <w:tab w:val="clear" w:pos="720"/>
        <w:tab w:val="left" w:pos="567" w:leader="none"/>
      </w:tabs>
      <w:jc w:val="both"/>
    </w:pPr>
    <w:rPr>
      <w:rFonts w:ascii="Ecofont_Spranq_eco_Sans" w:hAnsi="Ecofont_Spranq_eco_Sans" w:cs="Times New Roman"/>
      <w:b/>
      <w:bCs/>
      <w:color w:val="auto"/>
      <w:sz w:val="20"/>
      <w:szCs w:val="20"/>
    </w:rPr>
  </w:style>
  <w:style w:type="paragraph" w:styleId="SombreamentoMdio1nfase31" w:customStyle="1">
    <w:name w:val="Sombreamento Médio 1 - Ênfase 31"/>
    <w:basedOn w:val="Normal"/>
    <w:next w:val="Normal"/>
    <w:qFormat/>
    <w:pPr>
      <w:pBdr>
        <w:top w:val="single" w:sz="4" w:space="1" w:color="000080"/>
        <w:left w:val="single" w:sz="4" w:space="4" w:color="000080"/>
        <w:bottom w:val="single" w:sz="4" w:space="1" w:color="000080"/>
        <w:right w:val="single" w:sz="4" w:space="4" w:color="000080"/>
      </w:pBdr>
      <w:shd w:val="clear" w:color="auto" w:fill="FFFFCC"/>
      <w:suppressAutoHyphens w:val="true"/>
      <w:spacing w:before="120" w:after="0"/>
      <w:jc w:val="both"/>
    </w:pPr>
    <w:rPr>
      <w:rFonts w:ascii="Ecofont_Spranq_eco_Sans" w:hAnsi="Ecofont_Spranq_eco_Sans" w:eastAsia="Calibri"/>
      <w:i/>
      <w:iCs/>
      <w:color w:val="000000"/>
      <w:lang w:eastAsia="zh-CN"/>
    </w:rPr>
  </w:style>
  <w:style w:type="paragraph" w:styleId="PargrafodaLista1" w:customStyle="1">
    <w:name w:val="Parágrafo da Lista1"/>
    <w:basedOn w:val="Normal"/>
    <w:qFormat/>
    <w:pPr>
      <w:ind w:left="720" w:hanging="0"/>
    </w:pPr>
    <w:rPr>
      <w:rFonts w:ascii="Ecofont_Spranq_eco_Sans" w:hAnsi="Ecofont_Spranq_eco_Sans" w:cs="Ecofont_Spranq_eco_Sans"/>
      <w:sz w:val="24"/>
    </w:rPr>
  </w:style>
  <w:style w:type="paragraph" w:styleId="Nivel2" w:customStyle="1">
    <w:name w:val="Nivel 2"/>
    <w:link w:val="Nivel2Char"/>
    <w:qFormat/>
    <w:pPr>
      <w:widowControl/>
      <w:numPr>
        <w:ilvl w:val="1"/>
        <w:numId w:val="3"/>
      </w:numPr>
      <w:suppressAutoHyphens w:val="true"/>
      <w:bidi w:val="0"/>
      <w:spacing w:lineRule="auto" w:line="276" w:before="120" w:after="120"/>
      <w:jc w:val="both"/>
    </w:pPr>
    <w:rPr>
      <w:rFonts w:ascii="Ecofont_Spranq_eco_Sans" w:hAnsi="Ecofont_Spranq_eco_Sans" w:eastAsia="Arial Unicode MS" w:cs="Times New Roman"/>
      <w:color w:val="auto"/>
      <w:kern w:val="0"/>
      <w:sz w:val="20"/>
      <w:szCs w:val="20"/>
      <w:lang w:val="pt-BR" w:eastAsia="pt-BR" w:bidi="ar-SA"/>
    </w:rPr>
  </w:style>
  <w:style w:type="paragraph" w:styleId="Nivel11" w:customStyle="1">
    <w:name w:val="Nivel 1"/>
    <w:basedOn w:val="Nivel2"/>
    <w:next w:val="Nivel2"/>
    <w:qFormat/>
    <w:pPr>
      <w:tabs>
        <w:tab w:val="clear" w:pos="720"/>
        <w:tab w:val="left" w:pos="360" w:leader="none"/>
      </w:tabs>
      <w:ind w:left="644" w:hanging="432"/>
    </w:pPr>
    <w:rPr>
      <w:rFonts w:cs="Arial"/>
      <w:b/>
    </w:rPr>
  </w:style>
  <w:style w:type="paragraph" w:styleId="Nivel3" w:customStyle="1">
    <w:name w:val="Nivel 3"/>
    <w:basedOn w:val="Nivel2"/>
    <w:qFormat/>
    <w:pPr>
      <w:tabs>
        <w:tab w:val="clear" w:pos="720"/>
        <w:tab w:val="left" w:pos="360" w:leader="none"/>
      </w:tabs>
      <w:ind w:left="1922" w:hanging="0"/>
    </w:pPr>
    <w:rPr>
      <w:rFonts w:cs="Arial"/>
      <w:color w:val="000000"/>
    </w:rPr>
  </w:style>
  <w:style w:type="paragraph" w:styleId="Nivel4" w:customStyle="1">
    <w:name w:val="Nivel 4"/>
    <w:basedOn w:val="Nivel3"/>
    <w:qFormat/>
    <w:pPr>
      <w:ind w:left="2491" w:hanging="0"/>
    </w:pPr>
    <w:rPr>
      <w:color w:val="auto"/>
    </w:rPr>
  </w:style>
  <w:style w:type="paragraph" w:styleId="Nivel5" w:customStyle="1">
    <w:name w:val="Nivel 5"/>
    <w:basedOn w:val="Nivel4"/>
    <w:qFormat/>
    <w:pPr>
      <w:ind w:left="3485" w:hanging="0"/>
    </w:pPr>
    <w:rPr/>
  </w:style>
  <w:style w:type="paragraph" w:styleId="Citao1" w:customStyle="1">
    <w:name w:val="Citação1"/>
    <w:basedOn w:val="Normal"/>
    <w:next w:val="Normal"/>
    <w:link w:val="QuoteChar"/>
    <w:qFormat/>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ascii="Ecofont_Spranq_eco_Sans" w:hAnsi="Ecofont_Spranq_eco_Sans" w:cs="Ecofont_Spranq_eco_Sans"/>
      <w:i/>
      <w:iCs/>
      <w:color w:val="000000"/>
      <w:sz w:val="24"/>
      <w:shd w:fill="FFFFCC" w:val="clear"/>
      <w:lang w:eastAsia="en-US"/>
    </w:rPr>
  </w:style>
  <w:style w:type="paragraph" w:styleId="GradeColoridanfase110" w:customStyle="1">
    <w:name w:val="Grade Colorida - Ênfase 110"/>
    <w:basedOn w:val="Normal"/>
    <w:next w:val="Normal"/>
    <w:qFormat/>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ascii="Ecofont_Spranq_eco_Sans" w:hAnsi="Ecofont_Spranq_eco_Sans"/>
      <w:i/>
      <w:color w:val="000000"/>
      <w:sz w:val="24"/>
      <w:lang w:eastAsia="en-US"/>
    </w:rPr>
  </w:style>
  <w:style w:type="paragraph" w:styleId="Ttulo51" w:customStyle="1">
    <w:name w:val="Título 51"/>
    <w:basedOn w:val="Normal"/>
    <w:qFormat/>
    <w:pPr>
      <w:ind w:left="258" w:hanging="0"/>
      <w:outlineLvl w:val="5"/>
    </w:pPr>
    <w:rPr>
      <w:rFonts w:eastAsia="Arial" w:cs="Arial"/>
      <w:sz w:val="24"/>
      <w:lang w:val="pt-PT" w:eastAsia="pt-PT" w:bidi="pt-PT"/>
    </w:rPr>
  </w:style>
  <w:style w:type="paragraph" w:styleId="Pb0" w:customStyle="1">
    <w:name w:val="pb-0"/>
    <w:basedOn w:val="Normal"/>
    <w:qFormat/>
    <w:pPr>
      <w:spacing w:beforeAutospacing="1" w:afterAutospacing="1"/>
    </w:pPr>
    <w:rPr>
      <w:rFonts w:ascii="Times New Roman" w:hAnsi="Times New Roman" w:cs="Times New Roman"/>
      <w:sz w:val="24"/>
    </w:rPr>
  </w:style>
  <w:style w:type="paragraph" w:styleId="Subttulo">
    <w:name w:val="Subtitle"/>
    <w:basedOn w:val="Normal"/>
    <w:next w:val="Normal"/>
    <w:qFormat/>
    <w:pPr>
      <w:keepNext w:val="true"/>
      <w:keepLines/>
      <w:spacing w:before="360" w:after="80"/>
    </w:pPr>
    <w:rPr>
      <w:rFonts w:ascii="Georgia" w:hAnsi="Georgia" w:eastAsia="Georgia" w:cs="Georgia"/>
      <w:i/>
      <w:color w:val="666666"/>
      <w:sz w:val="48"/>
      <w:szCs w:val="48"/>
    </w:rPr>
  </w:style>
  <w:style w:type="paragraph" w:styleId="LONormal">
    <w:name w:val="LO-Normal"/>
    <w:qFormat/>
    <w:pPr>
      <w:widowControl/>
      <w:suppressAutoHyphens w:val="true"/>
      <w:bidi w:val="0"/>
      <w:spacing w:before="0" w:after="0"/>
      <w:jc w:val="left"/>
    </w:pPr>
    <w:rPr>
      <w:rFonts w:ascii="Arial" w:hAnsi="Arial" w:eastAsia="Arial" w:cs="Arial"/>
      <w:color w:val="auto"/>
      <w:kern w:val="0"/>
      <w:sz w:val="20"/>
      <w:szCs w:val="20"/>
      <w:lang w:val="pt-BR" w:eastAsia="pt-BR" w:bidi="ar-SA"/>
    </w:rPr>
  </w:style>
  <w:style w:type="numbering" w:styleId="NoList" w:default="1">
    <w:name w:val="No List"/>
    <w:uiPriority w:val="99"/>
    <w:semiHidden/>
    <w:unhideWhenUsed/>
    <w:qFormat/>
  </w:style>
  <w:style w:type="table" w:default="1" w:styleId="Tabelanormal">
    <w:name w:val="Normal Table"/>
    <w:uiPriority w:val="99"/>
    <w:semiHidden/>
    <w:unhideWhenUsed/>
    <w:tblPr>
      <w:tblCellMar>
        <w:top w:w="0" w:type="dxa"/>
        <w:left w:w="108" w:type="dxa"/>
        <w:bottom w:w="0" w:type="dxa"/>
        <w:right w:w="108" w:type="dxa"/>
      </w:tblCellMar>
    </w:tblPr>
  </w:style>
  <w:style w:type="table" w:customStyle="1" w:styleId="TableNormal">
    <w:name w:val="Table Normal"/>
    <w:tblPr>
      <w:tblCellMar>
        <w:top w:w="0" w:type="dxa"/>
        <w:left w:w="0" w:type="dxa"/>
        <w:bottom w:w="0" w:type="dxa"/>
        <w:right w:w="0" w:type="dxa"/>
      </w:tblCellMar>
    </w:tblPr>
  </w:style>
  <w:style w:type="table" w:styleId="Tabelacomgrade">
    <w:name w:val="Table Grid"/>
    <w:basedOn w:val="Tabelanormal"/>
    <w:qFormat/>
    <w:rPr>
      <w:rFonts w:eastAsiaTheme="minorEastAsia"/>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footer" Target="footer1.xml"/><Relationship Id="rId4" Type="http://schemas.openxmlformats.org/officeDocument/2006/relationships/numbering" Target="numbering.xml"/><Relationship Id="rId5" Type="http://schemas.openxmlformats.org/officeDocument/2006/relationships/fontTable" Target="fontTable.xml"/><Relationship Id="rId6" Type="http://schemas.openxmlformats.org/officeDocument/2006/relationships/settings" Target="settings.xml"/><Relationship Id="rId7" Type="http://schemas.openxmlformats.org/officeDocument/2006/relationships/theme" Target="theme/theme1.xml"/><Relationship Id="rId8" Type="http://schemas.openxmlformats.org/officeDocument/2006/relationships/customXml" Target="../customXml/item1.xml"/>
</Relationships>
</file>

<file path=word/_rels/footer1.xml.rels><?xml version="1.0" encoding="UTF-8"?>
<Relationships xmlns="http://schemas.openxmlformats.org/package/2006/relationships"><Relationship Id="rId1" Type="http://schemas.openxmlformats.org/officeDocument/2006/relationships/image" Target="media/image2.png"/>
</Relationships>
</file>

<file path=word/_rels/header1.xml.rels><?xml version="1.0" encoding="UTF-8"?>
<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go:gDocsCustomXmlDataStorage xmlns:go="http://customooxmlschemas.google.com/" xmlns:r="http://schemas.openxmlformats.org/officeDocument/2006/relationships" uri="GoogleDocsCustomDataVersion1">
  <go:docsCustomData roundtripDataSignature="AMtx7mgPqKptx2jG4TKKHSde4OqcVgyTIA==">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</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40</TotalTime>
  <Application>LibreOffice/7.4.3.2$Windows_X86_64 LibreOffice_project/1048a8393ae2eeec98dff31b5c133c5f1d08b890</Application>
  <AppVersion>15.0000</AppVersion>
  <Pages>9</Pages>
  <Words>3195</Words>
  <Characters>17509</Characters>
  <CharactersWithSpaces>20558</CharactersWithSpaces>
  <Paragraphs>224</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2023-01-18T13:46:00Z</dcterms:created>
  <dc:creator>Adriano</dc:creator>
  <dc:description/>
  <dc:language>pt-BR</dc:language>
  <cp:lastModifiedBy/>
  <cp:lastPrinted>2023-01-18T13:46:00Z</cp:lastPrinted>
  <dcterms:modified xsi:type="dcterms:W3CDTF">2023-01-30T15:30:38Z</dcterms:modified>
  <cp:revision>9</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y fmtid="{D5CDD505-2E9C-101B-9397-08002B2CF9AE}" pid="3" name="ICV">
    <vt:lpwstr>2132332E3FF24DD1919E32BE498FB970</vt:lpwstr>
  </property>
  <property fmtid="{D5CDD505-2E9C-101B-9397-08002B2CF9AE}" pid="4" name="KSOProductBuildVer">
    <vt:lpwstr>1033-11.2.0.11440</vt:lpwstr>
  </property>
</Properties>
</file>